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48E11" w14:textId="11C35F4F" w:rsidR="004F0A4A" w:rsidRPr="004F0A4A" w:rsidRDefault="004F0A4A" w:rsidP="00F007D2">
      <w:pPr>
        <w:pStyle w:val="NormalWeb"/>
        <w:rPr>
          <w:rFonts w:ascii="Calibri" w:eastAsiaTheme="minorHAnsi" w:hAnsi="Calibri" w:cs="Calibri"/>
          <w:b/>
          <w:bCs/>
          <w:color w:val="FFFFFF" w:themeColor="background1"/>
          <w:kern w:val="2"/>
          <w:sz w:val="52"/>
          <w:szCs w:val="52"/>
          <w:lang w:val="fr-FR" w:eastAsia="en-US"/>
          <w14:shadow w14:blurRad="50800" w14:dist="38100" w14:dir="2700000" w14:sx="100000" w14:sy="100000" w14:kx="0" w14:ky="0" w14:algn="tl">
            <w14:srgbClr w14:val="000000">
              <w14:alpha w14:val="60000"/>
            </w14:srgbClr>
          </w14:shadow>
          <w14:ligatures w14:val="standardContextual"/>
        </w:rPr>
      </w:pPr>
      <w:r w:rsidRPr="004F0A4A">
        <w:rPr>
          <w:rFonts w:ascii="Calibri" w:eastAsiaTheme="minorHAnsi" w:hAnsi="Calibri" w:cs="Calibri"/>
          <w:b/>
          <w:bCs/>
          <w:noProof/>
          <w:color w:val="FFFFFF" w:themeColor="background1"/>
          <w:kern w:val="2"/>
          <w:sz w:val="52"/>
          <w:szCs w:val="52"/>
          <w:lang w:val="fr-FR" w:eastAsia="en-US"/>
          <w14:shadow w14:blurRad="50800" w14:dist="38100" w14:dir="2700000" w14:sx="100000" w14:sy="100000" w14:kx="0" w14:ky="0" w14:algn="tl">
            <w14:srgbClr w14:val="000000">
              <w14:alpha w14:val="60000"/>
            </w14:srgbClr>
          </w14:shadow>
          <w14:ligatures w14:val="standardContextual"/>
        </w:rPr>
        <w:drawing>
          <wp:anchor distT="0" distB="0" distL="114300" distR="114300" simplePos="0" relativeHeight="251663360" behindDoc="1" locked="0" layoutInCell="1" allowOverlap="1" wp14:anchorId="0E6C92AC" wp14:editId="51980531">
            <wp:simplePos x="0" y="0"/>
            <wp:positionH relativeFrom="page">
              <wp:posOffset>33423</wp:posOffset>
            </wp:positionH>
            <wp:positionV relativeFrom="paragraph">
              <wp:posOffset>-898525</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F0A4A">
        <w:rPr>
          <w:rFonts w:ascii="Calibri" w:eastAsiaTheme="minorHAnsi" w:hAnsi="Calibri" w:cs="Calibri"/>
          <w:b/>
          <w:bCs/>
          <w:color w:val="FFFFFF" w:themeColor="background1"/>
          <w:kern w:val="2"/>
          <w:sz w:val="52"/>
          <w:szCs w:val="52"/>
          <w:lang w:val="fr-FR" w:eastAsia="en-US"/>
          <w14:shadow w14:blurRad="50800" w14:dist="38100" w14:dir="2700000" w14:sx="100000" w14:sy="100000" w14:kx="0" w14:ky="0" w14:algn="tl">
            <w14:srgbClr w14:val="000000">
              <w14:alpha w14:val="60000"/>
            </w14:srgbClr>
          </w14:shadow>
          <w14:ligatures w14:val="standardContextual"/>
        </w:rPr>
        <w:t>SUMMAR</w:t>
      </w:r>
      <w:r>
        <w:rPr>
          <w:rFonts w:ascii="Calibri" w:eastAsiaTheme="minorHAnsi" w:hAnsi="Calibri" w:cs="Calibri"/>
          <w:b/>
          <w:bCs/>
          <w:color w:val="FFFFFF" w:themeColor="background1"/>
          <w:kern w:val="2"/>
          <w:sz w:val="52"/>
          <w:szCs w:val="52"/>
          <w:lang w:val="fr-FR" w:eastAsia="en-US"/>
          <w14:shadow w14:blurRad="50800" w14:dist="38100" w14:dir="2700000" w14:sx="100000" w14:sy="100000" w14:kx="0" w14:ky="0" w14:algn="tl">
            <w14:srgbClr w14:val="000000">
              <w14:alpha w14:val="60000"/>
            </w14:srgbClr>
          </w14:shadow>
          <w14:ligatures w14:val="standardContextual"/>
        </w:rPr>
        <w:t>Y</w:t>
      </w:r>
      <w:r w:rsidRPr="004F0A4A">
        <w:rPr>
          <w:rFonts w:ascii="Calibri" w:eastAsiaTheme="minorHAnsi" w:hAnsi="Calibri" w:cs="Calibri"/>
          <w:b/>
          <w:bCs/>
          <w:color w:val="FFFFFF" w:themeColor="background1"/>
          <w:kern w:val="2"/>
          <w:sz w:val="52"/>
          <w:szCs w:val="52"/>
          <w:lang w:val="fr-FR" w:eastAsia="en-US"/>
          <w14:shadow w14:blurRad="50800" w14:dist="38100" w14:dir="2700000" w14:sx="100000" w14:sy="100000" w14:kx="0" w14:ky="0" w14:algn="tl">
            <w14:srgbClr w14:val="000000">
              <w14:alpha w14:val="60000"/>
            </w14:srgbClr>
          </w14:shadow>
          <w14:ligatures w14:val="standardContextual"/>
        </w:rPr>
        <w:t xml:space="preserve"> SHEET : ARTICLE 14 ECHFR</w:t>
      </w:r>
    </w:p>
    <w:p w14:paraId="43BDDC97" w14:textId="2F1C1EE4" w:rsidR="00F007D2" w:rsidRDefault="00F007D2" w:rsidP="004F0A4A">
      <w:pPr>
        <w:pStyle w:val="NormalWeb"/>
        <w:rPr>
          <w:rFonts w:ascii="Calibri" w:hAnsi="Calibri" w:cs="Calibri"/>
          <w:b/>
          <w:bCs/>
          <w:color w:val="FFD966" w:themeColor="accent4" w:themeTint="99"/>
          <w:sz w:val="32"/>
          <w:szCs w:val="32"/>
          <w:lang w:val="en-US"/>
        </w:rPr>
      </w:pPr>
      <w:r w:rsidRPr="00BA7FF3">
        <w:rPr>
          <w:b/>
          <w:i/>
          <w:noProof/>
        </w:rPr>
        <mc:AlternateContent>
          <mc:Choice Requires="wps">
            <w:drawing>
              <wp:anchor distT="45720" distB="45720" distL="114300" distR="114300" simplePos="0" relativeHeight="251661312" behindDoc="0" locked="0" layoutInCell="1" allowOverlap="1" wp14:anchorId="2067BD68" wp14:editId="7F197FAF">
                <wp:simplePos x="0" y="0"/>
                <wp:positionH relativeFrom="margin">
                  <wp:align>left</wp:align>
                </wp:positionH>
                <wp:positionV relativeFrom="paragraph">
                  <wp:posOffset>640080</wp:posOffset>
                </wp:positionV>
                <wp:extent cx="5381625" cy="1404620"/>
                <wp:effectExtent l="0" t="0" r="28575"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495B8349" w14:textId="470DE258" w:rsidR="00F007D2" w:rsidRDefault="00F007D2" w:rsidP="00B75123">
                            <w:pPr>
                              <w:jc w:val="both"/>
                              <w:rPr>
                                <w:rFonts w:asciiTheme="majorHAnsi" w:hAnsiTheme="majorHAnsi" w:cstheme="majorHAnsi"/>
                                <w:b/>
                                <w:i/>
                              </w:rPr>
                            </w:pPr>
                            <w:r>
                              <w:rPr>
                                <w:b/>
                                <w:i/>
                              </w:rPr>
                              <w:t>“</w:t>
                            </w:r>
                            <w:proofErr w:type="spellStart"/>
                            <w:r>
                              <w:rPr>
                                <w:rFonts w:asciiTheme="majorHAnsi" w:hAnsiTheme="majorHAnsi" w:cstheme="majorHAnsi"/>
                                <w:b/>
                                <w:i/>
                              </w:rPr>
                              <w:t>Right</w:t>
                            </w:r>
                            <w:proofErr w:type="spellEnd"/>
                            <w:r>
                              <w:rPr>
                                <w:rFonts w:asciiTheme="majorHAnsi" w:hAnsiTheme="majorHAnsi" w:cstheme="majorHAnsi"/>
                                <w:b/>
                                <w:i/>
                              </w:rPr>
                              <w:t xml:space="preserve"> </w:t>
                            </w:r>
                            <w:proofErr w:type="spellStart"/>
                            <w:r>
                              <w:rPr>
                                <w:rFonts w:asciiTheme="majorHAnsi" w:hAnsiTheme="majorHAnsi" w:cstheme="majorHAnsi"/>
                                <w:b/>
                                <w:i/>
                              </w:rPr>
                              <w:t>to</w:t>
                            </w:r>
                            <w:proofErr w:type="spellEnd"/>
                            <w:r>
                              <w:rPr>
                                <w:rFonts w:asciiTheme="majorHAnsi" w:hAnsiTheme="majorHAnsi" w:cstheme="majorHAnsi"/>
                                <w:b/>
                                <w:i/>
                              </w:rPr>
                              <w:t xml:space="preserve"> </w:t>
                            </w:r>
                            <w:proofErr w:type="spellStart"/>
                            <w:r>
                              <w:rPr>
                                <w:rFonts w:asciiTheme="majorHAnsi" w:hAnsiTheme="majorHAnsi" w:cstheme="majorHAnsi"/>
                                <w:b/>
                                <w:i/>
                              </w:rPr>
                              <w:t>education</w:t>
                            </w:r>
                            <w:proofErr w:type="spellEnd"/>
                            <w:r>
                              <w:rPr>
                                <w:rFonts w:asciiTheme="majorHAnsi" w:hAnsiTheme="majorHAnsi" w:cstheme="majorHAnsi"/>
                                <w:b/>
                                <w:i/>
                              </w:rPr>
                              <w:t xml:space="preserve"> </w:t>
                            </w:r>
                          </w:p>
                          <w:p w14:paraId="78F3EB27" w14:textId="77777777" w:rsidR="00F007D2" w:rsidRPr="00F007D2" w:rsidRDefault="00F007D2" w:rsidP="00B75123">
                            <w:pPr>
                              <w:jc w:val="both"/>
                              <w:rPr>
                                <w:rFonts w:asciiTheme="majorHAnsi" w:hAnsiTheme="majorHAnsi" w:cstheme="majorHAnsi"/>
                                <w:b/>
                                <w:i/>
                              </w:rPr>
                            </w:pPr>
                          </w:p>
                          <w:p w14:paraId="56C86913" w14:textId="77777777" w:rsidR="00F007D2" w:rsidRPr="00F007D2" w:rsidRDefault="00F007D2" w:rsidP="00B75123">
                            <w:pPr>
                              <w:jc w:val="both"/>
                              <w:rPr>
                                <w:rFonts w:asciiTheme="majorHAnsi" w:hAnsiTheme="majorHAnsi" w:cstheme="majorHAnsi"/>
                                <w:i/>
                              </w:rPr>
                            </w:pPr>
                            <w:r w:rsidRPr="00F007D2">
                              <w:rPr>
                                <w:rFonts w:asciiTheme="majorHAnsi" w:hAnsiTheme="majorHAnsi" w:cstheme="majorHAnsi"/>
                                <w:i/>
                              </w:rPr>
                              <w:t xml:space="preserve">1. </w:t>
                            </w:r>
                            <w:proofErr w:type="spellStart"/>
                            <w:r w:rsidRPr="00F007D2">
                              <w:rPr>
                                <w:rFonts w:asciiTheme="majorHAnsi" w:hAnsiTheme="majorHAnsi" w:cstheme="majorHAnsi"/>
                                <w:i/>
                              </w:rPr>
                              <w:t>Everyone</w:t>
                            </w:r>
                            <w:proofErr w:type="spellEnd"/>
                            <w:r w:rsidRPr="00F007D2">
                              <w:rPr>
                                <w:rFonts w:asciiTheme="majorHAnsi" w:hAnsiTheme="majorHAnsi" w:cstheme="majorHAnsi"/>
                                <w:i/>
                              </w:rPr>
                              <w:t xml:space="preserve"> has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have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access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vocational</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continuing</w:t>
                            </w:r>
                            <w:proofErr w:type="spellEnd"/>
                            <w:r w:rsidRPr="00F007D2">
                              <w:rPr>
                                <w:rFonts w:asciiTheme="majorHAnsi" w:hAnsiTheme="majorHAnsi" w:cstheme="majorHAnsi"/>
                                <w:i/>
                              </w:rPr>
                              <w:t xml:space="preserve"> training.</w:t>
                            </w:r>
                          </w:p>
                          <w:p w14:paraId="6173EAC5" w14:textId="77777777" w:rsidR="00F007D2" w:rsidRPr="00F007D2" w:rsidRDefault="00F007D2" w:rsidP="00B75123">
                            <w:pPr>
                              <w:jc w:val="both"/>
                              <w:rPr>
                                <w:rFonts w:asciiTheme="majorHAnsi" w:hAnsiTheme="majorHAnsi" w:cstheme="majorHAnsi"/>
                                <w:i/>
                              </w:rPr>
                            </w:pPr>
                            <w:r w:rsidRPr="00F007D2">
                              <w:rPr>
                                <w:rFonts w:asciiTheme="majorHAnsi" w:hAnsiTheme="majorHAnsi" w:cstheme="majorHAnsi"/>
                                <w:i/>
                              </w:rPr>
                              <w:t xml:space="preserve">2. </w:t>
                            </w:r>
                            <w:proofErr w:type="spellStart"/>
                            <w:r w:rsidRPr="00F007D2">
                              <w:rPr>
                                <w:rFonts w:asciiTheme="majorHAnsi" w:hAnsiTheme="majorHAnsi" w:cstheme="majorHAnsi"/>
                                <w:i/>
                              </w:rPr>
                              <w:t>This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includes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possibility</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receive</w:t>
                            </w:r>
                            <w:proofErr w:type="spellEnd"/>
                            <w:r w:rsidRPr="00F007D2">
                              <w:rPr>
                                <w:rFonts w:asciiTheme="majorHAnsi" w:hAnsiTheme="majorHAnsi" w:cstheme="majorHAnsi"/>
                                <w:i/>
                              </w:rPr>
                              <w:t xml:space="preserve"> free </w:t>
                            </w:r>
                            <w:proofErr w:type="spellStart"/>
                            <w:r w:rsidRPr="00F007D2">
                              <w:rPr>
                                <w:rFonts w:asciiTheme="majorHAnsi" w:hAnsiTheme="majorHAnsi" w:cstheme="majorHAnsi"/>
                                <w:i/>
                              </w:rPr>
                              <w:t>compulsory</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w:t>
                            </w:r>
                            <w:proofErr w:type="spellEnd"/>
                            <w:r w:rsidRPr="00F007D2">
                              <w:rPr>
                                <w:rFonts w:asciiTheme="majorHAnsi" w:hAnsiTheme="majorHAnsi" w:cstheme="majorHAnsi"/>
                                <w:i/>
                              </w:rPr>
                              <w:t>.</w:t>
                            </w:r>
                          </w:p>
                          <w:p w14:paraId="370284D9" w14:textId="7DC09BAA" w:rsidR="00F007D2" w:rsidRPr="00F007D2" w:rsidRDefault="00F007D2" w:rsidP="00B75123">
                            <w:pPr>
                              <w:jc w:val="both"/>
                              <w:rPr>
                                <w:rFonts w:asciiTheme="majorHAnsi" w:hAnsiTheme="majorHAnsi" w:cstheme="majorHAnsi"/>
                                <w:b/>
                                <w:bCs/>
                                <w:i/>
                                <w:lang w:val="en-US"/>
                              </w:rPr>
                            </w:pPr>
                            <w:r w:rsidRPr="00F007D2">
                              <w:rPr>
                                <w:rFonts w:asciiTheme="majorHAnsi" w:hAnsiTheme="majorHAnsi" w:cstheme="majorHAnsi"/>
                                <w:i/>
                              </w:rPr>
                              <w:t>3.</w:t>
                            </w:r>
                            <w:r w:rsidR="00B75123">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freedom</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found</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educational</w:t>
                            </w:r>
                            <w:proofErr w:type="spellEnd"/>
                            <w:r w:rsidRPr="00F007D2">
                              <w:rPr>
                                <w:rFonts w:asciiTheme="majorHAnsi" w:hAnsiTheme="majorHAnsi" w:cstheme="majorHAnsi"/>
                                <w:i/>
                              </w:rPr>
                              <w:t xml:space="preserve"> </w:t>
                            </w:r>
                            <w:proofErr w:type="gramStart"/>
                            <w:r w:rsidRPr="00F007D2">
                              <w:rPr>
                                <w:rFonts w:asciiTheme="majorHAnsi" w:hAnsiTheme="majorHAnsi" w:cstheme="majorHAnsi"/>
                                <w:i/>
                              </w:rPr>
                              <w:t>establishments</w:t>
                            </w:r>
                            <w:proofErr w:type="gramEnd"/>
                            <w:r w:rsidRPr="00F007D2">
                              <w:rPr>
                                <w:rFonts w:asciiTheme="majorHAnsi" w:hAnsiTheme="majorHAnsi" w:cstheme="majorHAnsi"/>
                                <w:i/>
                              </w:rPr>
                              <w:t xml:space="preserve"> </w:t>
                            </w:r>
                            <w:proofErr w:type="spellStart"/>
                            <w:r w:rsidRPr="00F007D2">
                              <w:rPr>
                                <w:rFonts w:asciiTheme="majorHAnsi" w:hAnsiTheme="majorHAnsi" w:cstheme="majorHAnsi"/>
                                <w:i/>
                              </w:rPr>
                              <w:t>with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due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respect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for</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democratic</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principles</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of</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parents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ensure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teaching</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of</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their</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children</w:t>
                            </w:r>
                            <w:proofErr w:type="spellEnd"/>
                            <w:r w:rsidRPr="00F007D2">
                              <w:rPr>
                                <w:rFonts w:asciiTheme="majorHAnsi" w:hAnsiTheme="majorHAnsi" w:cstheme="majorHAnsi"/>
                                <w:i/>
                              </w:rPr>
                              <w:t xml:space="preserve"> in </w:t>
                            </w:r>
                            <w:proofErr w:type="spellStart"/>
                            <w:r w:rsidRPr="00F007D2">
                              <w:rPr>
                                <w:rFonts w:asciiTheme="majorHAnsi" w:hAnsiTheme="majorHAnsi" w:cstheme="majorHAnsi"/>
                                <w:i/>
                              </w:rPr>
                              <w:t>conformity</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with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their</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religious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philosophical</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pedagogical</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convictions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shall</w:t>
                            </w:r>
                            <w:proofErr w:type="spellEnd"/>
                            <w:r w:rsidRPr="00F007D2">
                              <w:rPr>
                                <w:rFonts w:asciiTheme="majorHAnsi" w:hAnsiTheme="majorHAnsi" w:cstheme="majorHAnsi"/>
                                <w:i/>
                              </w:rPr>
                              <w:t xml:space="preserve"> be </w:t>
                            </w:r>
                            <w:proofErr w:type="spellStart"/>
                            <w:r w:rsidRPr="00F007D2">
                              <w:rPr>
                                <w:rFonts w:asciiTheme="majorHAnsi" w:hAnsiTheme="majorHAnsi" w:cstheme="majorHAnsi"/>
                                <w:i/>
                              </w:rPr>
                              <w:t>respected</w:t>
                            </w:r>
                            <w:proofErr w:type="spellEnd"/>
                            <w:r w:rsidRPr="00F007D2">
                              <w:rPr>
                                <w:rFonts w:asciiTheme="majorHAnsi" w:hAnsiTheme="majorHAnsi" w:cstheme="majorHAnsi"/>
                                <w:i/>
                              </w:rPr>
                              <w:t xml:space="preserve">, in </w:t>
                            </w:r>
                            <w:proofErr w:type="spellStart"/>
                            <w:r w:rsidRPr="00F007D2">
                              <w:rPr>
                                <w:rFonts w:asciiTheme="majorHAnsi" w:hAnsiTheme="majorHAnsi" w:cstheme="majorHAnsi"/>
                                <w:i/>
                              </w:rPr>
                              <w:t>accordance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with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national</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laws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governing</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exercise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of</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such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freedom</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w:t>
                            </w:r>
                            <w:r>
                              <w:rPr>
                                <w:rFonts w:asciiTheme="majorHAnsi" w:hAnsiTheme="majorHAnsi" w:cstheme="majorHAnsi"/>
                                <w:i/>
                              </w:rPr>
                              <w:t>”</w:t>
                            </w:r>
                          </w:p>
                          <w:p w14:paraId="6F468AE4" w14:textId="77777777" w:rsidR="00F007D2" w:rsidRPr="00BA7FF3" w:rsidRDefault="00F007D2" w:rsidP="00F007D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2067BD68" id="Zone de texte 2" o:spid="_x0000_s1026" style="position:absolute;margin-left:0;margin-top:50.4pt;width:423.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" fillcolor="#deeaf6 [660]" strokecolor="#deeaf6 [660]">
                <v:stroke joinstyle="miter"/>
                <v:textbox style="mso-fit-shape-to-text:t">
                  <w:txbxContent>
                    <w:p w14:paraId="495B8349" w14:textId="470DE258" w:rsidR="00F007D2" w:rsidRDefault="00F007D2" w:rsidP="00B75123">
                      <w:pPr>
                        <w:jc w:val="both"/>
                        <w:rPr>
                          <w:rFonts w:asciiTheme="majorHAnsi" w:hAnsiTheme="majorHAnsi" w:cstheme="majorHAnsi"/>
                          <w:b/>
                          <w:i/>
                        </w:rPr>
                      </w:pPr>
                      <w:r>
                        <w:rPr>
                          <w:b/>
                          <w:i/>
                        </w:rPr>
                        <w:t>“</w:t>
                      </w:r>
                      <w:proofErr w:type="spellStart"/>
                      <w:r>
                        <w:rPr>
                          <w:rFonts w:asciiTheme="majorHAnsi" w:hAnsiTheme="majorHAnsi" w:cstheme="majorHAnsi"/>
                          <w:b/>
                          <w:i/>
                        </w:rPr>
                        <w:t>Right</w:t>
                      </w:r>
                      <w:proofErr w:type="spellEnd"/>
                      <w:r>
                        <w:rPr>
                          <w:rFonts w:asciiTheme="majorHAnsi" w:hAnsiTheme="majorHAnsi" w:cstheme="majorHAnsi"/>
                          <w:b/>
                          <w:i/>
                        </w:rPr>
                        <w:t xml:space="preserve"> </w:t>
                      </w:r>
                      <w:proofErr w:type="spellStart"/>
                      <w:r>
                        <w:rPr>
                          <w:rFonts w:asciiTheme="majorHAnsi" w:hAnsiTheme="majorHAnsi" w:cstheme="majorHAnsi"/>
                          <w:b/>
                          <w:i/>
                        </w:rPr>
                        <w:t>to</w:t>
                      </w:r>
                      <w:proofErr w:type="spellEnd"/>
                      <w:r>
                        <w:rPr>
                          <w:rFonts w:asciiTheme="majorHAnsi" w:hAnsiTheme="majorHAnsi" w:cstheme="majorHAnsi"/>
                          <w:b/>
                          <w:i/>
                        </w:rPr>
                        <w:t xml:space="preserve"> </w:t>
                      </w:r>
                      <w:proofErr w:type="spellStart"/>
                      <w:r>
                        <w:rPr>
                          <w:rFonts w:asciiTheme="majorHAnsi" w:hAnsiTheme="majorHAnsi" w:cstheme="majorHAnsi"/>
                          <w:b/>
                          <w:i/>
                        </w:rPr>
                        <w:t>education</w:t>
                      </w:r>
                      <w:proofErr w:type="spellEnd"/>
                      <w:r>
                        <w:rPr>
                          <w:rFonts w:asciiTheme="majorHAnsi" w:hAnsiTheme="majorHAnsi" w:cstheme="majorHAnsi"/>
                          <w:b/>
                          <w:i/>
                        </w:rPr>
                        <w:t xml:space="preserve"> </w:t>
                      </w:r>
                    </w:p>
                    <w:p w14:paraId="78F3EB27" w14:textId="77777777" w:rsidR="00F007D2" w:rsidRPr="00F007D2" w:rsidRDefault="00F007D2" w:rsidP="00B75123">
                      <w:pPr>
                        <w:jc w:val="both"/>
                        <w:rPr>
                          <w:rFonts w:asciiTheme="majorHAnsi" w:hAnsiTheme="majorHAnsi" w:cstheme="majorHAnsi"/>
                          <w:b/>
                          <w:i/>
                        </w:rPr>
                      </w:pPr>
                    </w:p>
                    <w:p w14:paraId="56C86913" w14:textId="77777777" w:rsidR="00F007D2" w:rsidRPr="00F007D2" w:rsidRDefault="00F007D2" w:rsidP="00B75123">
                      <w:pPr>
                        <w:jc w:val="both"/>
                        <w:rPr>
                          <w:rFonts w:asciiTheme="majorHAnsi" w:hAnsiTheme="majorHAnsi" w:cstheme="majorHAnsi"/>
                          <w:i/>
                        </w:rPr>
                      </w:pPr>
                      <w:r w:rsidRPr="00F007D2">
                        <w:rPr>
                          <w:rFonts w:asciiTheme="majorHAnsi" w:hAnsiTheme="majorHAnsi" w:cstheme="majorHAnsi"/>
                          <w:i/>
                        </w:rPr>
                        <w:t xml:space="preserve">1. </w:t>
                      </w:r>
                      <w:proofErr w:type="spellStart"/>
                      <w:r w:rsidRPr="00F007D2">
                        <w:rPr>
                          <w:rFonts w:asciiTheme="majorHAnsi" w:hAnsiTheme="majorHAnsi" w:cstheme="majorHAnsi"/>
                          <w:i/>
                        </w:rPr>
                        <w:t>Everyone</w:t>
                      </w:r>
                      <w:proofErr w:type="spellEnd"/>
                      <w:r w:rsidRPr="00F007D2">
                        <w:rPr>
                          <w:rFonts w:asciiTheme="majorHAnsi" w:hAnsiTheme="majorHAnsi" w:cstheme="majorHAnsi"/>
                          <w:i/>
                        </w:rPr>
                        <w:t xml:space="preserve"> has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have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access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vocational</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continuing</w:t>
                      </w:r>
                      <w:proofErr w:type="spellEnd"/>
                      <w:r w:rsidRPr="00F007D2">
                        <w:rPr>
                          <w:rFonts w:asciiTheme="majorHAnsi" w:hAnsiTheme="majorHAnsi" w:cstheme="majorHAnsi"/>
                          <w:i/>
                        </w:rPr>
                        <w:t xml:space="preserve"> training.</w:t>
                      </w:r>
                    </w:p>
                    <w:p w14:paraId="6173EAC5" w14:textId="77777777" w:rsidR="00F007D2" w:rsidRPr="00F007D2" w:rsidRDefault="00F007D2" w:rsidP="00B75123">
                      <w:pPr>
                        <w:jc w:val="both"/>
                        <w:rPr>
                          <w:rFonts w:asciiTheme="majorHAnsi" w:hAnsiTheme="majorHAnsi" w:cstheme="majorHAnsi"/>
                          <w:i/>
                        </w:rPr>
                      </w:pPr>
                      <w:r w:rsidRPr="00F007D2">
                        <w:rPr>
                          <w:rFonts w:asciiTheme="majorHAnsi" w:hAnsiTheme="majorHAnsi" w:cstheme="majorHAnsi"/>
                          <w:i/>
                        </w:rPr>
                        <w:t xml:space="preserve">2. </w:t>
                      </w:r>
                      <w:proofErr w:type="spellStart"/>
                      <w:r w:rsidRPr="00F007D2">
                        <w:rPr>
                          <w:rFonts w:asciiTheme="majorHAnsi" w:hAnsiTheme="majorHAnsi" w:cstheme="majorHAnsi"/>
                          <w:i/>
                        </w:rPr>
                        <w:t>This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includes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possibility</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receive</w:t>
                      </w:r>
                      <w:proofErr w:type="spellEnd"/>
                      <w:r w:rsidRPr="00F007D2">
                        <w:rPr>
                          <w:rFonts w:asciiTheme="majorHAnsi" w:hAnsiTheme="majorHAnsi" w:cstheme="majorHAnsi"/>
                          <w:i/>
                        </w:rPr>
                        <w:t xml:space="preserve"> free </w:t>
                      </w:r>
                      <w:proofErr w:type="spellStart"/>
                      <w:r w:rsidRPr="00F007D2">
                        <w:rPr>
                          <w:rFonts w:asciiTheme="majorHAnsi" w:hAnsiTheme="majorHAnsi" w:cstheme="majorHAnsi"/>
                          <w:i/>
                        </w:rPr>
                        <w:t>compulsory</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w:t>
                      </w:r>
                      <w:proofErr w:type="spellEnd"/>
                      <w:r w:rsidRPr="00F007D2">
                        <w:rPr>
                          <w:rFonts w:asciiTheme="majorHAnsi" w:hAnsiTheme="majorHAnsi" w:cstheme="majorHAnsi"/>
                          <w:i/>
                        </w:rPr>
                        <w:t>.</w:t>
                      </w:r>
                    </w:p>
                    <w:p w14:paraId="370284D9" w14:textId="7DC09BAA" w:rsidR="00F007D2" w:rsidRPr="00F007D2" w:rsidRDefault="00F007D2" w:rsidP="00B75123">
                      <w:pPr>
                        <w:jc w:val="both"/>
                        <w:rPr>
                          <w:rFonts w:asciiTheme="majorHAnsi" w:hAnsiTheme="majorHAnsi" w:cstheme="majorHAnsi"/>
                          <w:b/>
                          <w:bCs/>
                          <w:i/>
                          <w:lang w:val="en-US"/>
                        </w:rPr>
                      </w:pPr>
                      <w:r w:rsidRPr="00F007D2">
                        <w:rPr>
                          <w:rFonts w:asciiTheme="majorHAnsi" w:hAnsiTheme="majorHAnsi" w:cstheme="majorHAnsi"/>
                          <w:i/>
                        </w:rPr>
                        <w:t>3.</w:t>
                      </w:r>
                      <w:r w:rsidR="00B75123">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freedom</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found</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educational</w:t>
                      </w:r>
                      <w:proofErr w:type="spellEnd"/>
                      <w:r w:rsidRPr="00F007D2">
                        <w:rPr>
                          <w:rFonts w:asciiTheme="majorHAnsi" w:hAnsiTheme="majorHAnsi" w:cstheme="majorHAnsi"/>
                          <w:i/>
                        </w:rPr>
                        <w:t xml:space="preserve"> establishments </w:t>
                      </w:r>
                      <w:proofErr w:type="spellStart"/>
                      <w:r w:rsidRPr="00F007D2">
                        <w:rPr>
                          <w:rFonts w:asciiTheme="majorHAnsi" w:hAnsiTheme="majorHAnsi" w:cstheme="majorHAnsi"/>
                          <w:i/>
                        </w:rPr>
                        <w:t>with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due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respect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for</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democratic</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principles</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of</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parents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to</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ensure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education</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teaching</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of</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their</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children</w:t>
                      </w:r>
                      <w:proofErr w:type="spellEnd"/>
                      <w:r w:rsidRPr="00F007D2">
                        <w:rPr>
                          <w:rFonts w:asciiTheme="majorHAnsi" w:hAnsiTheme="majorHAnsi" w:cstheme="majorHAnsi"/>
                          <w:i/>
                        </w:rPr>
                        <w:t xml:space="preserve"> in </w:t>
                      </w:r>
                      <w:proofErr w:type="spellStart"/>
                      <w:r w:rsidRPr="00F007D2">
                        <w:rPr>
                          <w:rFonts w:asciiTheme="majorHAnsi" w:hAnsiTheme="majorHAnsi" w:cstheme="majorHAnsi"/>
                          <w:i/>
                        </w:rPr>
                        <w:t>conformity</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with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their</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religious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philosophical</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pedagogical</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convictions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shall</w:t>
                      </w:r>
                      <w:proofErr w:type="spellEnd"/>
                      <w:r w:rsidRPr="00F007D2">
                        <w:rPr>
                          <w:rFonts w:asciiTheme="majorHAnsi" w:hAnsiTheme="majorHAnsi" w:cstheme="majorHAnsi"/>
                          <w:i/>
                        </w:rPr>
                        <w:t xml:space="preserve"> be </w:t>
                      </w:r>
                      <w:proofErr w:type="spellStart"/>
                      <w:r w:rsidRPr="00F007D2">
                        <w:rPr>
                          <w:rFonts w:asciiTheme="majorHAnsi" w:hAnsiTheme="majorHAnsi" w:cstheme="majorHAnsi"/>
                          <w:i/>
                        </w:rPr>
                        <w:t>respected</w:t>
                      </w:r>
                      <w:proofErr w:type="spellEnd"/>
                      <w:r w:rsidRPr="00F007D2">
                        <w:rPr>
                          <w:rFonts w:asciiTheme="majorHAnsi" w:hAnsiTheme="majorHAnsi" w:cstheme="majorHAnsi"/>
                          <w:i/>
                        </w:rPr>
                        <w:t xml:space="preserve">, in </w:t>
                      </w:r>
                      <w:proofErr w:type="spellStart"/>
                      <w:r w:rsidRPr="00F007D2">
                        <w:rPr>
                          <w:rFonts w:asciiTheme="majorHAnsi" w:hAnsiTheme="majorHAnsi" w:cstheme="majorHAnsi"/>
                          <w:i/>
                        </w:rPr>
                        <w:t>accordance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with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national</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laws</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governing</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the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exercise</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of</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such</w:t>
                      </w:r>
                      <w:proofErr w:type="spellEnd"/>
                      <w:r w:rsidRPr="00F007D2">
                        <w:rPr>
                          <w:rFonts w:asciiTheme="majorHAnsi" w:hAnsiTheme="majorHAnsi" w:cstheme="majorHAnsi"/>
                          <w:i/>
                        </w:rPr>
                        <w:t xml:space="preserve"> </w:t>
                      </w:r>
                      <w:proofErr w:type="spellStart"/>
                      <w:r w:rsidRPr="00F007D2">
                        <w:rPr>
                          <w:rFonts w:asciiTheme="majorHAnsi" w:hAnsiTheme="majorHAnsi" w:cstheme="majorHAnsi"/>
                          <w:i/>
                        </w:rPr>
                        <w:t>freedom</w:t>
                      </w:r>
                      <w:proofErr w:type="spellEnd"/>
                      <w:r w:rsidRPr="00F007D2">
                        <w:rPr>
                          <w:rFonts w:asciiTheme="majorHAnsi" w:hAnsiTheme="majorHAnsi" w:cstheme="majorHAnsi"/>
                          <w:i/>
                        </w:rPr>
                        <w:t xml:space="preserve"> and </w:t>
                      </w:r>
                      <w:proofErr w:type="spellStart"/>
                      <w:r w:rsidRPr="00F007D2">
                        <w:rPr>
                          <w:rFonts w:asciiTheme="majorHAnsi" w:hAnsiTheme="majorHAnsi" w:cstheme="majorHAnsi"/>
                          <w:i/>
                        </w:rPr>
                        <w:t>right</w:t>
                      </w:r>
                      <w:proofErr w:type="spellEnd"/>
                      <w:r w:rsidRPr="00F007D2">
                        <w:rPr>
                          <w:rFonts w:asciiTheme="majorHAnsi" w:hAnsiTheme="majorHAnsi" w:cstheme="majorHAnsi"/>
                          <w:i/>
                        </w:rPr>
                        <w:t>.</w:t>
                      </w:r>
                      <w:r>
                        <w:rPr>
                          <w:rFonts w:asciiTheme="majorHAnsi" w:hAnsiTheme="majorHAnsi" w:cstheme="majorHAnsi"/>
                          <w:i/>
                        </w:rPr>
                        <w:t>”</w:t>
                      </w:r>
                    </w:p>
                    <w:p w14:paraId="6F468AE4" w14:textId="77777777" w:rsidR="00F007D2" w:rsidRPr="00BA7FF3" w:rsidRDefault="00F007D2" w:rsidP="00F007D2"/>
                  </w:txbxContent>
                </v:textbox>
                <w10:wrap type="square" anchorx="margin"/>
              </v:roundrect>
            </w:pict>
          </mc:Fallback>
        </mc:AlternateContent>
      </w:r>
    </w:p>
    <w:p w14:paraId="5335C834" w14:textId="77777777" w:rsidR="00F007D2" w:rsidRPr="00F007D2" w:rsidRDefault="00F007D2" w:rsidP="00F007D2">
      <w:pPr>
        <w:pStyle w:val="NormalWeb"/>
        <w:jc w:val="center"/>
        <w:rPr>
          <w:rFonts w:ascii="Calibri" w:hAnsi="Calibri" w:cs="Calibri"/>
          <w:b/>
          <w:bCs/>
          <w:color w:val="FFD966" w:themeColor="accent4" w:themeTint="99"/>
          <w:sz w:val="32"/>
          <w:szCs w:val="32"/>
          <w:lang w:val="en-US"/>
        </w:rPr>
      </w:pPr>
    </w:p>
    <w:tbl>
      <w:tblPr>
        <w:tblStyle w:val="Grilledutableau"/>
        <w:tblW w:w="0" w:type="auto"/>
        <w:tblLook w:val="04A0" w:firstRow="1" w:lastRow="0" w:firstColumn="1" w:lastColumn="0" w:noHBand="0" w:noVBand="1"/>
      </w:tblPr>
      <w:tblGrid>
        <w:gridCol w:w="8926"/>
      </w:tblGrid>
      <w:tr w:rsidR="00664DF4" w:rsidRPr="00470C01" w14:paraId="6F7FD9D8" w14:textId="77777777" w:rsidTr="008D2374">
        <w:tc>
          <w:tcPr>
            <w:tcW w:w="8926" w:type="dxa"/>
          </w:tcPr>
          <w:p w14:paraId="78F52455" w14:textId="77777777" w:rsidR="00664DF4" w:rsidRPr="00F007D2" w:rsidRDefault="003D0AD2" w:rsidP="00CD2B58">
            <w:pPr>
              <w:rPr>
                <w:rFonts w:ascii="Calibri" w:hAnsi="Calibri" w:cs="Calibri"/>
                <w:b/>
                <w:bCs/>
                <w:sz w:val="28"/>
                <w:szCs w:val="28"/>
                <w:lang w:val="en-US"/>
              </w:rPr>
            </w:pPr>
            <w:r w:rsidRPr="00F007D2">
              <w:rPr>
                <w:b/>
                <w:bCs/>
                <w:color w:val="0070C0"/>
                <w:sz w:val="28"/>
                <w:szCs w:val="28"/>
                <w:lang w:val="en-US"/>
              </w:rPr>
              <w:t xml:space="preserve">Content and </w:t>
            </w:r>
            <w:r w:rsidR="00664DF4" w:rsidRPr="00F007D2">
              <w:rPr>
                <w:b/>
                <w:bCs/>
                <w:color w:val="0070C0"/>
                <w:sz w:val="28"/>
                <w:szCs w:val="28"/>
                <w:lang w:val="en-US"/>
              </w:rPr>
              <w:t xml:space="preserve">scope of the article </w:t>
            </w:r>
          </w:p>
        </w:tc>
      </w:tr>
      <w:tr w:rsidR="00664DF4" w:rsidRPr="00470C01" w14:paraId="7277B27D" w14:textId="77777777" w:rsidTr="008D2374">
        <w:tc>
          <w:tcPr>
            <w:tcW w:w="8926" w:type="dxa"/>
          </w:tcPr>
          <w:p w14:paraId="5A16EE0B" w14:textId="77777777" w:rsidR="00592852" w:rsidRPr="00AE36E2" w:rsidRDefault="00592852" w:rsidP="005A735D">
            <w:pPr>
              <w:rPr>
                <w:rFonts w:asciiTheme="majorHAnsi" w:hAnsiTheme="majorHAnsi" w:cstheme="majorHAnsi"/>
                <w:iCs/>
                <w:lang w:val="en-US"/>
              </w:rPr>
            </w:pPr>
          </w:p>
          <w:p w14:paraId="55901C23" w14:textId="4D921694" w:rsidR="008E42EE" w:rsidRDefault="008E42EE" w:rsidP="008E42EE">
            <w:pPr>
              <w:jc w:val="both"/>
              <w:rPr>
                <w:rFonts w:asciiTheme="majorHAnsi" w:hAnsiTheme="majorHAnsi" w:cstheme="majorHAnsi"/>
                <w:b/>
                <w:bCs/>
                <w:lang w:val="en-GB"/>
              </w:rPr>
            </w:pPr>
            <w:r w:rsidRPr="008E42EE">
              <w:rPr>
                <w:rFonts w:asciiTheme="majorHAnsi" w:hAnsiTheme="majorHAnsi" w:cstheme="majorHAnsi"/>
                <w:b/>
                <w:bCs/>
                <w:lang w:val="en-GB"/>
              </w:rPr>
              <w:t xml:space="preserve">Core Principles of Article 14 </w:t>
            </w:r>
            <w:proofErr w:type="spellStart"/>
            <w:r w:rsidRPr="008E42EE">
              <w:rPr>
                <w:rFonts w:asciiTheme="majorHAnsi" w:hAnsiTheme="majorHAnsi" w:cstheme="majorHAnsi"/>
                <w:b/>
                <w:bCs/>
                <w:lang w:val="en-GB"/>
              </w:rPr>
              <w:t>EChFR</w:t>
            </w:r>
            <w:proofErr w:type="spellEnd"/>
          </w:p>
          <w:p w14:paraId="4DDDF36E" w14:textId="77777777" w:rsidR="00B75123" w:rsidRPr="008E42EE" w:rsidRDefault="00B75123" w:rsidP="008E42EE">
            <w:pPr>
              <w:jc w:val="both"/>
              <w:rPr>
                <w:rFonts w:asciiTheme="majorHAnsi" w:hAnsiTheme="majorHAnsi" w:cstheme="majorHAnsi"/>
                <w:b/>
                <w:bCs/>
                <w:lang w:val="en-GB"/>
              </w:rPr>
            </w:pPr>
          </w:p>
          <w:p w14:paraId="14945198" w14:textId="77777777" w:rsidR="008E42EE" w:rsidRDefault="008E42EE" w:rsidP="008E42EE">
            <w:pPr>
              <w:jc w:val="both"/>
              <w:rPr>
                <w:rFonts w:asciiTheme="majorHAnsi" w:hAnsiTheme="majorHAnsi" w:cstheme="majorHAnsi"/>
                <w:lang w:val="en-GB"/>
              </w:rPr>
            </w:pPr>
            <w:r w:rsidRPr="008E42EE">
              <w:rPr>
                <w:rFonts w:asciiTheme="majorHAnsi" w:hAnsiTheme="majorHAnsi" w:cstheme="majorHAnsi"/>
                <w:lang w:val="en-GB"/>
              </w:rPr>
              <w:t>Article 14 of the European Charter of Fundamental Rights (</w:t>
            </w:r>
            <w:proofErr w:type="spellStart"/>
            <w:r w:rsidRPr="008E42EE">
              <w:rPr>
                <w:rFonts w:asciiTheme="majorHAnsi" w:hAnsiTheme="majorHAnsi" w:cstheme="majorHAnsi"/>
                <w:lang w:val="en-GB"/>
              </w:rPr>
              <w:t>EChFR</w:t>
            </w:r>
            <w:proofErr w:type="spellEnd"/>
            <w:r w:rsidRPr="008E42EE">
              <w:rPr>
                <w:rFonts w:asciiTheme="majorHAnsi" w:hAnsiTheme="majorHAnsi" w:cstheme="majorHAnsi"/>
                <w:lang w:val="en-GB"/>
              </w:rPr>
              <w:t xml:space="preserve">) guarantees the </w:t>
            </w:r>
            <w:r w:rsidRPr="008E42EE">
              <w:rPr>
                <w:rFonts w:asciiTheme="majorHAnsi" w:hAnsiTheme="majorHAnsi" w:cstheme="majorHAnsi"/>
                <w:b/>
                <w:bCs/>
                <w:lang w:val="en-GB"/>
              </w:rPr>
              <w:t>right to education</w:t>
            </w:r>
            <w:r w:rsidRPr="008E42EE">
              <w:rPr>
                <w:rFonts w:asciiTheme="majorHAnsi" w:hAnsiTheme="majorHAnsi" w:cstheme="majorHAnsi"/>
                <w:lang w:val="en-GB"/>
              </w:rPr>
              <w:t xml:space="preserve">, emphasizing </w:t>
            </w:r>
            <w:r w:rsidRPr="008E42EE">
              <w:rPr>
                <w:rFonts w:asciiTheme="majorHAnsi" w:hAnsiTheme="majorHAnsi" w:cstheme="majorHAnsi"/>
                <w:b/>
                <w:bCs/>
                <w:lang w:val="en-GB"/>
              </w:rPr>
              <w:t>equal access, vocational training, and respect for parental rights in education</w:t>
            </w:r>
            <w:r w:rsidRPr="008E42EE">
              <w:rPr>
                <w:rFonts w:asciiTheme="majorHAnsi" w:hAnsiTheme="majorHAnsi" w:cstheme="majorHAnsi"/>
                <w:lang w:val="en-GB"/>
              </w:rPr>
              <w:t xml:space="preserve">. It is part of the Charter’s </w:t>
            </w:r>
            <w:r w:rsidRPr="008E42EE">
              <w:rPr>
                <w:rFonts w:asciiTheme="majorHAnsi" w:hAnsiTheme="majorHAnsi" w:cstheme="majorHAnsi"/>
                <w:b/>
                <w:bCs/>
                <w:lang w:val="en-GB"/>
              </w:rPr>
              <w:t>"Freedoms"</w:t>
            </w:r>
            <w:r w:rsidRPr="008E42EE">
              <w:rPr>
                <w:rFonts w:asciiTheme="majorHAnsi" w:hAnsiTheme="majorHAnsi" w:cstheme="majorHAnsi"/>
                <w:lang w:val="en-GB"/>
              </w:rPr>
              <w:t xml:space="preserve"> chapter, reinforcing the EU’s commitment to ensuring education as a fundamental right.</w:t>
            </w:r>
          </w:p>
          <w:p w14:paraId="764C3738" w14:textId="77777777" w:rsidR="00B75123" w:rsidRPr="008E42EE" w:rsidRDefault="00B75123" w:rsidP="008E42EE">
            <w:pPr>
              <w:jc w:val="both"/>
              <w:rPr>
                <w:rFonts w:asciiTheme="majorHAnsi" w:hAnsiTheme="majorHAnsi" w:cstheme="majorHAnsi"/>
                <w:lang w:val="en-GB"/>
              </w:rPr>
            </w:pPr>
          </w:p>
          <w:p w14:paraId="190AF6C2" w14:textId="77777777" w:rsidR="008E42EE" w:rsidRPr="008E42EE" w:rsidRDefault="008E42EE" w:rsidP="008E42EE">
            <w:pPr>
              <w:jc w:val="both"/>
              <w:rPr>
                <w:rFonts w:asciiTheme="majorHAnsi" w:hAnsiTheme="majorHAnsi" w:cstheme="majorHAnsi"/>
                <w:lang w:val="en-GB"/>
              </w:rPr>
            </w:pPr>
            <w:r w:rsidRPr="008E42EE">
              <w:rPr>
                <w:rFonts w:asciiTheme="majorHAnsi" w:hAnsiTheme="majorHAnsi" w:cstheme="majorHAnsi"/>
                <w:lang w:val="en-GB"/>
              </w:rPr>
              <w:t>The article establishes three key guarantees:</w:t>
            </w:r>
          </w:p>
          <w:p w14:paraId="54A92F57" w14:textId="77777777" w:rsidR="008E42EE" w:rsidRPr="008E42EE" w:rsidRDefault="008E42EE" w:rsidP="008E42EE">
            <w:pPr>
              <w:numPr>
                <w:ilvl w:val="0"/>
                <w:numId w:val="6"/>
              </w:numPr>
              <w:jc w:val="both"/>
              <w:rPr>
                <w:rFonts w:asciiTheme="majorHAnsi" w:hAnsiTheme="majorHAnsi" w:cstheme="majorHAnsi"/>
                <w:lang w:val="en-GB"/>
              </w:rPr>
            </w:pPr>
            <w:r w:rsidRPr="008E42EE">
              <w:rPr>
                <w:rFonts w:asciiTheme="majorHAnsi" w:hAnsiTheme="majorHAnsi" w:cstheme="majorHAnsi"/>
                <w:b/>
                <w:bCs/>
                <w:lang w:val="en-GB"/>
              </w:rPr>
              <w:t>Equal access to education</w:t>
            </w:r>
            <w:r w:rsidRPr="008E42EE">
              <w:rPr>
                <w:rFonts w:asciiTheme="majorHAnsi" w:hAnsiTheme="majorHAnsi" w:cstheme="majorHAnsi"/>
                <w:lang w:val="en-GB"/>
              </w:rPr>
              <w:t xml:space="preserve"> at all levels, including free and compulsory primary education.</w:t>
            </w:r>
          </w:p>
          <w:p w14:paraId="798A05A7" w14:textId="77777777" w:rsidR="008E42EE" w:rsidRPr="008E42EE" w:rsidRDefault="008E42EE" w:rsidP="008E42EE">
            <w:pPr>
              <w:numPr>
                <w:ilvl w:val="0"/>
                <w:numId w:val="6"/>
              </w:numPr>
              <w:jc w:val="both"/>
              <w:rPr>
                <w:rFonts w:asciiTheme="majorHAnsi" w:hAnsiTheme="majorHAnsi" w:cstheme="majorHAnsi"/>
                <w:lang w:val="en-GB"/>
              </w:rPr>
            </w:pPr>
            <w:r w:rsidRPr="008E42EE">
              <w:rPr>
                <w:rFonts w:asciiTheme="majorHAnsi" w:hAnsiTheme="majorHAnsi" w:cstheme="majorHAnsi"/>
                <w:b/>
                <w:bCs/>
                <w:lang w:val="en-GB"/>
              </w:rPr>
              <w:t>The right to vocational and continuing training</w:t>
            </w:r>
            <w:r w:rsidRPr="008E42EE">
              <w:rPr>
                <w:rFonts w:asciiTheme="majorHAnsi" w:hAnsiTheme="majorHAnsi" w:cstheme="majorHAnsi"/>
                <w:lang w:val="en-GB"/>
              </w:rPr>
              <w:t>, ensuring lifelong learning opportunities.</w:t>
            </w:r>
          </w:p>
          <w:p w14:paraId="3F07CAD5" w14:textId="77777777" w:rsidR="008E42EE" w:rsidRDefault="008E42EE" w:rsidP="008E42EE">
            <w:pPr>
              <w:numPr>
                <w:ilvl w:val="0"/>
                <w:numId w:val="6"/>
              </w:numPr>
              <w:jc w:val="both"/>
              <w:rPr>
                <w:rFonts w:asciiTheme="majorHAnsi" w:hAnsiTheme="majorHAnsi" w:cstheme="majorHAnsi"/>
                <w:lang w:val="en-GB"/>
              </w:rPr>
            </w:pPr>
            <w:r w:rsidRPr="008E42EE">
              <w:rPr>
                <w:rFonts w:asciiTheme="majorHAnsi" w:hAnsiTheme="majorHAnsi" w:cstheme="majorHAnsi"/>
                <w:b/>
                <w:bCs/>
                <w:lang w:val="en-GB"/>
              </w:rPr>
              <w:t>Respect for parental rights</w:t>
            </w:r>
            <w:r w:rsidRPr="008E42EE">
              <w:rPr>
                <w:rFonts w:asciiTheme="majorHAnsi" w:hAnsiTheme="majorHAnsi" w:cstheme="majorHAnsi"/>
                <w:lang w:val="en-GB"/>
              </w:rPr>
              <w:t xml:space="preserve"> in the choice of education for their children, aligned with their philosophical, religious, and pedagogical beliefs.</w:t>
            </w:r>
          </w:p>
          <w:p w14:paraId="26A33043" w14:textId="77777777" w:rsidR="00B75123" w:rsidRPr="008E42EE" w:rsidRDefault="00B75123" w:rsidP="00B75123">
            <w:pPr>
              <w:ind w:left="720"/>
              <w:jc w:val="both"/>
              <w:rPr>
                <w:rFonts w:asciiTheme="majorHAnsi" w:hAnsiTheme="majorHAnsi" w:cstheme="majorHAnsi"/>
                <w:lang w:val="en-GB"/>
              </w:rPr>
            </w:pPr>
          </w:p>
          <w:p w14:paraId="28FD2E43" w14:textId="77777777" w:rsidR="008E42EE" w:rsidRDefault="008E42EE" w:rsidP="008E42EE">
            <w:pPr>
              <w:jc w:val="both"/>
              <w:rPr>
                <w:rFonts w:asciiTheme="majorHAnsi" w:hAnsiTheme="majorHAnsi" w:cstheme="majorHAnsi"/>
                <w:lang w:val="en-GB"/>
              </w:rPr>
            </w:pPr>
            <w:r w:rsidRPr="008E42EE">
              <w:rPr>
                <w:rFonts w:asciiTheme="majorHAnsi" w:hAnsiTheme="majorHAnsi" w:cstheme="majorHAnsi"/>
                <w:lang w:val="en-GB"/>
              </w:rPr>
              <w:t xml:space="preserve">These principles align with broader EU objectives, such as </w:t>
            </w:r>
            <w:r w:rsidRPr="008E42EE">
              <w:rPr>
                <w:rFonts w:asciiTheme="majorHAnsi" w:hAnsiTheme="majorHAnsi" w:cstheme="majorHAnsi"/>
                <w:b/>
                <w:bCs/>
                <w:lang w:val="en-GB"/>
              </w:rPr>
              <w:t>promoting social inclusion, non-discrimination, and professional mobility</w:t>
            </w:r>
            <w:r w:rsidRPr="008E42EE">
              <w:rPr>
                <w:rFonts w:asciiTheme="majorHAnsi" w:hAnsiTheme="majorHAnsi" w:cstheme="majorHAnsi"/>
                <w:lang w:val="en-GB"/>
              </w:rPr>
              <w:t xml:space="preserve"> within the Union.</w:t>
            </w:r>
          </w:p>
          <w:p w14:paraId="42E6EA63" w14:textId="77777777" w:rsidR="00B75123" w:rsidRPr="008E42EE" w:rsidRDefault="00B75123" w:rsidP="008E42EE">
            <w:pPr>
              <w:jc w:val="both"/>
              <w:rPr>
                <w:rFonts w:asciiTheme="majorHAnsi" w:hAnsiTheme="majorHAnsi" w:cstheme="majorHAnsi"/>
                <w:lang w:val="en-GB"/>
              </w:rPr>
            </w:pPr>
          </w:p>
          <w:p w14:paraId="13E494DD" w14:textId="01DC8571" w:rsidR="008E42EE" w:rsidRDefault="008E42EE" w:rsidP="008E42EE">
            <w:pPr>
              <w:jc w:val="both"/>
              <w:rPr>
                <w:rFonts w:asciiTheme="majorHAnsi" w:hAnsiTheme="majorHAnsi" w:cstheme="majorHAnsi"/>
                <w:b/>
                <w:bCs/>
                <w:lang w:val="en-GB"/>
              </w:rPr>
            </w:pPr>
            <w:r w:rsidRPr="008E42EE">
              <w:rPr>
                <w:rFonts w:asciiTheme="majorHAnsi" w:hAnsiTheme="majorHAnsi" w:cstheme="majorHAnsi"/>
                <w:b/>
                <w:bCs/>
                <w:lang w:val="en-GB"/>
              </w:rPr>
              <w:t>Scope and Application within EU Law</w:t>
            </w:r>
          </w:p>
          <w:p w14:paraId="1ECB373D" w14:textId="77777777" w:rsidR="00B75123" w:rsidRPr="008E42EE" w:rsidRDefault="00B75123" w:rsidP="008E42EE">
            <w:pPr>
              <w:jc w:val="both"/>
              <w:rPr>
                <w:rFonts w:asciiTheme="majorHAnsi" w:hAnsiTheme="majorHAnsi" w:cstheme="majorHAnsi"/>
                <w:b/>
                <w:bCs/>
                <w:lang w:val="en-GB"/>
              </w:rPr>
            </w:pPr>
          </w:p>
          <w:p w14:paraId="432F9191" w14:textId="77777777" w:rsidR="008E42EE" w:rsidRPr="008E42EE" w:rsidRDefault="008E42EE" w:rsidP="008E42EE">
            <w:pPr>
              <w:jc w:val="both"/>
              <w:rPr>
                <w:rFonts w:asciiTheme="majorHAnsi" w:hAnsiTheme="majorHAnsi" w:cstheme="majorHAnsi"/>
                <w:lang w:val="fr-FR"/>
              </w:rPr>
            </w:pPr>
            <w:r w:rsidRPr="008E42EE">
              <w:rPr>
                <w:rFonts w:asciiTheme="majorHAnsi" w:hAnsiTheme="majorHAnsi" w:cstheme="majorHAnsi"/>
                <w:lang w:val="en-GB"/>
              </w:rPr>
              <w:t xml:space="preserve">Article 14 applies </w:t>
            </w:r>
            <w:r w:rsidRPr="008E42EE">
              <w:rPr>
                <w:rFonts w:asciiTheme="majorHAnsi" w:hAnsiTheme="majorHAnsi" w:cstheme="majorHAnsi"/>
                <w:b/>
                <w:bCs/>
                <w:lang w:val="en-GB"/>
              </w:rPr>
              <w:t>only when EU law is engaged</w:t>
            </w:r>
            <w:r w:rsidRPr="008E42EE">
              <w:rPr>
                <w:rFonts w:asciiTheme="majorHAnsi" w:hAnsiTheme="majorHAnsi" w:cstheme="majorHAnsi"/>
                <w:lang w:val="en-GB"/>
              </w:rPr>
              <w:t xml:space="preserve">, meaning it does not automatically apply to purely national education policies. </w:t>
            </w:r>
            <w:proofErr w:type="spellStart"/>
            <w:r w:rsidRPr="008E42EE">
              <w:rPr>
                <w:rFonts w:asciiTheme="majorHAnsi" w:hAnsiTheme="majorHAnsi" w:cstheme="majorHAnsi"/>
                <w:lang w:val="fr-FR"/>
              </w:rPr>
              <w:t>However</w:t>
            </w:r>
            <w:proofErr w:type="spellEnd"/>
            <w:r w:rsidRPr="008E42EE">
              <w:rPr>
                <w:rFonts w:asciiTheme="majorHAnsi" w:hAnsiTheme="majorHAnsi" w:cstheme="majorHAnsi"/>
                <w:lang w:val="fr-FR"/>
              </w:rPr>
              <w:t xml:space="preserve">, </w:t>
            </w:r>
            <w:proofErr w:type="spellStart"/>
            <w:r w:rsidRPr="008E42EE">
              <w:rPr>
                <w:rFonts w:asciiTheme="majorHAnsi" w:hAnsiTheme="majorHAnsi" w:cstheme="majorHAnsi"/>
                <w:lang w:val="fr-FR"/>
              </w:rPr>
              <w:t>it</w:t>
            </w:r>
            <w:proofErr w:type="spellEnd"/>
            <w:r w:rsidRPr="008E42EE">
              <w:rPr>
                <w:rFonts w:asciiTheme="majorHAnsi" w:hAnsiTheme="majorHAnsi" w:cstheme="majorHAnsi"/>
                <w:lang w:val="fr-FR"/>
              </w:rPr>
              <w:t xml:space="preserve"> </w:t>
            </w:r>
            <w:proofErr w:type="spellStart"/>
            <w:r w:rsidRPr="008E42EE">
              <w:rPr>
                <w:rFonts w:asciiTheme="majorHAnsi" w:hAnsiTheme="majorHAnsi" w:cstheme="majorHAnsi"/>
                <w:lang w:val="fr-FR"/>
              </w:rPr>
              <w:t>is</w:t>
            </w:r>
            <w:proofErr w:type="spellEnd"/>
            <w:r w:rsidRPr="008E42EE">
              <w:rPr>
                <w:rFonts w:asciiTheme="majorHAnsi" w:hAnsiTheme="majorHAnsi" w:cstheme="majorHAnsi"/>
                <w:lang w:val="fr-FR"/>
              </w:rPr>
              <w:t xml:space="preserve"> relevant in </w:t>
            </w:r>
            <w:proofErr w:type="spellStart"/>
            <w:r w:rsidRPr="008E42EE">
              <w:rPr>
                <w:rFonts w:asciiTheme="majorHAnsi" w:hAnsiTheme="majorHAnsi" w:cstheme="majorHAnsi"/>
                <w:lang w:val="fr-FR"/>
              </w:rPr>
              <w:t>various</w:t>
            </w:r>
            <w:proofErr w:type="spellEnd"/>
            <w:r w:rsidRPr="008E42EE">
              <w:rPr>
                <w:rFonts w:asciiTheme="majorHAnsi" w:hAnsiTheme="majorHAnsi" w:cstheme="majorHAnsi"/>
                <w:lang w:val="fr-FR"/>
              </w:rPr>
              <w:t xml:space="preserve"> </w:t>
            </w:r>
            <w:proofErr w:type="spellStart"/>
            <w:r w:rsidRPr="008E42EE">
              <w:rPr>
                <w:rFonts w:asciiTheme="majorHAnsi" w:hAnsiTheme="majorHAnsi" w:cstheme="majorHAnsi"/>
                <w:lang w:val="fr-FR"/>
              </w:rPr>
              <w:t>contexts</w:t>
            </w:r>
            <w:proofErr w:type="spellEnd"/>
            <w:r w:rsidRPr="008E42EE">
              <w:rPr>
                <w:rFonts w:asciiTheme="majorHAnsi" w:hAnsiTheme="majorHAnsi" w:cstheme="majorHAnsi"/>
                <w:lang w:val="fr-FR"/>
              </w:rPr>
              <w:t xml:space="preserve">, </w:t>
            </w:r>
            <w:proofErr w:type="spellStart"/>
            <w:r w:rsidRPr="008E42EE">
              <w:rPr>
                <w:rFonts w:asciiTheme="majorHAnsi" w:hAnsiTheme="majorHAnsi" w:cstheme="majorHAnsi"/>
                <w:lang w:val="fr-FR"/>
              </w:rPr>
              <w:t>such</w:t>
            </w:r>
            <w:proofErr w:type="spellEnd"/>
            <w:r w:rsidRPr="008E42EE">
              <w:rPr>
                <w:rFonts w:asciiTheme="majorHAnsi" w:hAnsiTheme="majorHAnsi" w:cstheme="majorHAnsi"/>
                <w:lang w:val="fr-FR"/>
              </w:rPr>
              <w:t xml:space="preserve"> </w:t>
            </w:r>
            <w:proofErr w:type="gramStart"/>
            <w:r w:rsidRPr="008E42EE">
              <w:rPr>
                <w:rFonts w:asciiTheme="majorHAnsi" w:hAnsiTheme="majorHAnsi" w:cstheme="majorHAnsi"/>
                <w:lang w:val="fr-FR"/>
              </w:rPr>
              <w:t>as:</w:t>
            </w:r>
            <w:proofErr w:type="gramEnd"/>
          </w:p>
          <w:p w14:paraId="12F032C2" w14:textId="77777777" w:rsidR="008E42EE" w:rsidRPr="008E42EE" w:rsidRDefault="008E42EE" w:rsidP="008E42EE">
            <w:pPr>
              <w:numPr>
                <w:ilvl w:val="0"/>
                <w:numId w:val="7"/>
              </w:numPr>
              <w:jc w:val="both"/>
              <w:rPr>
                <w:rFonts w:asciiTheme="majorHAnsi" w:hAnsiTheme="majorHAnsi" w:cstheme="majorHAnsi"/>
                <w:lang w:val="en-GB"/>
              </w:rPr>
            </w:pPr>
            <w:r w:rsidRPr="008E42EE">
              <w:rPr>
                <w:rFonts w:asciiTheme="majorHAnsi" w:hAnsiTheme="majorHAnsi" w:cstheme="majorHAnsi"/>
                <w:b/>
                <w:bCs/>
                <w:lang w:val="en-GB"/>
              </w:rPr>
              <w:lastRenderedPageBreak/>
              <w:t>Education rights of EU citizens exercising free movement</w:t>
            </w:r>
            <w:r w:rsidRPr="008E42EE">
              <w:rPr>
                <w:rFonts w:asciiTheme="majorHAnsi" w:hAnsiTheme="majorHAnsi" w:cstheme="majorHAnsi"/>
                <w:lang w:val="en-GB"/>
              </w:rPr>
              <w:t xml:space="preserve"> under EU law (e.g., children of migrant workers and posted workers).</w:t>
            </w:r>
          </w:p>
          <w:p w14:paraId="23D7F01B" w14:textId="77777777" w:rsidR="008E42EE" w:rsidRDefault="008E42EE" w:rsidP="008E42EE">
            <w:pPr>
              <w:numPr>
                <w:ilvl w:val="0"/>
                <w:numId w:val="7"/>
              </w:numPr>
              <w:jc w:val="both"/>
              <w:rPr>
                <w:rFonts w:asciiTheme="majorHAnsi" w:hAnsiTheme="majorHAnsi" w:cstheme="majorHAnsi"/>
                <w:lang w:val="en-GB"/>
              </w:rPr>
            </w:pPr>
            <w:r w:rsidRPr="008E42EE">
              <w:rPr>
                <w:rFonts w:asciiTheme="majorHAnsi" w:hAnsiTheme="majorHAnsi" w:cstheme="majorHAnsi"/>
                <w:b/>
                <w:bCs/>
                <w:lang w:val="en-GB"/>
              </w:rPr>
              <w:t>Equal access to education for third-country nationals</w:t>
            </w:r>
            <w:r w:rsidRPr="008E42EE">
              <w:rPr>
                <w:rFonts w:asciiTheme="majorHAnsi" w:hAnsiTheme="majorHAnsi" w:cstheme="majorHAnsi"/>
                <w:lang w:val="en-GB"/>
              </w:rPr>
              <w:t xml:space="preserve"> under EU asylum and immigration law.</w:t>
            </w:r>
          </w:p>
          <w:p w14:paraId="37363B90" w14:textId="77777777" w:rsidR="004F0A4A" w:rsidRPr="008E42EE" w:rsidRDefault="004F0A4A" w:rsidP="004F0A4A">
            <w:pPr>
              <w:jc w:val="both"/>
              <w:rPr>
                <w:rFonts w:asciiTheme="majorHAnsi" w:hAnsiTheme="majorHAnsi" w:cstheme="majorHAnsi"/>
                <w:lang w:val="en-GB"/>
              </w:rPr>
            </w:pPr>
          </w:p>
          <w:p w14:paraId="2E22F50E" w14:textId="77777777" w:rsidR="008E42EE" w:rsidRPr="008E42EE" w:rsidRDefault="008E42EE" w:rsidP="008E42EE">
            <w:pPr>
              <w:numPr>
                <w:ilvl w:val="0"/>
                <w:numId w:val="7"/>
              </w:numPr>
              <w:jc w:val="both"/>
              <w:rPr>
                <w:rFonts w:asciiTheme="majorHAnsi" w:hAnsiTheme="majorHAnsi" w:cstheme="majorHAnsi"/>
                <w:lang w:val="en-GB"/>
              </w:rPr>
            </w:pPr>
            <w:r w:rsidRPr="008E42EE">
              <w:rPr>
                <w:rFonts w:asciiTheme="majorHAnsi" w:hAnsiTheme="majorHAnsi" w:cstheme="majorHAnsi"/>
                <w:b/>
                <w:bCs/>
                <w:lang w:val="en-GB"/>
              </w:rPr>
              <w:t>Cross-border recognition of qualifications and vocational training standards</w:t>
            </w:r>
            <w:r w:rsidRPr="008E42EE">
              <w:rPr>
                <w:rFonts w:asciiTheme="majorHAnsi" w:hAnsiTheme="majorHAnsi" w:cstheme="majorHAnsi"/>
                <w:lang w:val="en-GB"/>
              </w:rPr>
              <w:t>, particularly within the European Qualifications Framework (EQF).</w:t>
            </w:r>
          </w:p>
          <w:p w14:paraId="0E1FEB3D" w14:textId="77777777" w:rsidR="008E42EE" w:rsidRDefault="008E42EE" w:rsidP="008E42EE">
            <w:pPr>
              <w:numPr>
                <w:ilvl w:val="0"/>
                <w:numId w:val="7"/>
              </w:numPr>
              <w:jc w:val="both"/>
              <w:rPr>
                <w:rFonts w:asciiTheme="majorHAnsi" w:hAnsiTheme="majorHAnsi" w:cstheme="majorHAnsi"/>
                <w:lang w:val="en-GB"/>
              </w:rPr>
            </w:pPr>
            <w:r w:rsidRPr="008E42EE">
              <w:rPr>
                <w:rFonts w:asciiTheme="majorHAnsi" w:hAnsiTheme="majorHAnsi" w:cstheme="majorHAnsi"/>
                <w:b/>
                <w:bCs/>
                <w:lang w:val="en-GB"/>
              </w:rPr>
              <w:t>Education policies impacting EU-funded programs</w:t>
            </w:r>
            <w:r w:rsidRPr="008E42EE">
              <w:rPr>
                <w:rFonts w:asciiTheme="majorHAnsi" w:hAnsiTheme="majorHAnsi" w:cstheme="majorHAnsi"/>
                <w:lang w:val="en-GB"/>
              </w:rPr>
              <w:t>, such as Erasmus+ and EURES (European Job Mobility Portal).</w:t>
            </w:r>
          </w:p>
          <w:p w14:paraId="6FF65410" w14:textId="77777777" w:rsidR="00B75123" w:rsidRPr="008E42EE" w:rsidRDefault="00B75123" w:rsidP="00B75123">
            <w:pPr>
              <w:ind w:left="720"/>
              <w:jc w:val="both"/>
              <w:rPr>
                <w:rFonts w:asciiTheme="majorHAnsi" w:hAnsiTheme="majorHAnsi" w:cstheme="majorHAnsi"/>
                <w:lang w:val="en-GB"/>
              </w:rPr>
            </w:pPr>
          </w:p>
          <w:p w14:paraId="79902BC5" w14:textId="77777777" w:rsidR="008E42EE" w:rsidRPr="008E42EE" w:rsidRDefault="008E42EE" w:rsidP="008E42EE">
            <w:pPr>
              <w:jc w:val="both"/>
              <w:rPr>
                <w:rFonts w:asciiTheme="majorHAnsi" w:hAnsiTheme="majorHAnsi" w:cstheme="majorHAnsi"/>
                <w:lang w:val="en-GB"/>
              </w:rPr>
            </w:pPr>
            <w:r w:rsidRPr="008E42EE">
              <w:rPr>
                <w:rFonts w:asciiTheme="majorHAnsi" w:hAnsiTheme="majorHAnsi" w:cstheme="majorHAnsi"/>
                <w:lang w:val="en-GB"/>
              </w:rPr>
              <w:t xml:space="preserve">National authorities implementing </w:t>
            </w:r>
            <w:r w:rsidRPr="008E42EE">
              <w:rPr>
                <w:rFonts w:asciiTheme="majorHAnsi" w:hAnsiTheme="majorHAnsi" w:cstheme="majorHAnsi"/>
                <w:b/>
                <w:bCs/>
                <w:lang w:val="en-GB"/>
              </w:rPr>
              <w:t>EU directives, regulations, or funding mechanisms</w:t>
            </w:r>
            <w:r w:rsidRPr="008E42EE">
              <w:rPr>
                <w:rFonts w:asciiTheme="majorHAnsi" w:hAnsiTheme="majorHAnsi" w:cstheme="majorHAnsi"/>
                <w:lang w:val="en-GB"/>
              </w:rPr>
              <w:t xml:space="preserve"> related to education must comply with Article 14.</w:t>
            </w:r>
          </w:p>
          <w:p w14:paraId="1002BD96" w14:textId="77777777" w:rsidR="008E42EE" w:rsidRDefault="008E42EE" w:rsidP="008E42EE">
            <w:pPr>
              <w:jc w:val="both"/>
              <w:rPr>
                <w:rFonts w:asciiTheme="majorHAnsi" w:hAnsiTheme="majorHAnsi" w:cstheme="majorHAnsi"/>
                <w:b/>
                <w:bCs/>
                <w:lang w:val="en-GB"/>
              </w:rPr>
            </w:pPr>
          </w:p>
          <w:p w14:paraId="2AEC0FA4" w14:textId="1EB48FF0" w:rsidR="008E42EE" w:rsidRDefault="008E42EE" w:rsidP="008E42EE">
            <w:pPr>
              <w:jc w:val="both"/>
              <w:rPr>
                <w:rFonts w:asciiTheme="majorHAnsi" w:hAnsiTheme="majorHAnsi" w:cstheme="majorHAnsi"/>
                <w:b/>
                <w:bCs/>
                <w:lang w:val="en-GB"/>
              </w:rPr>
            </w:pPr>
            <w:r w:rsidRPr="008E42EE">
              <w:rPr>
                <w:rFonts w:asciiTheme="majorHAnsi" w:hAnsiTheme="majorHAnsi" w:cstheme="majorHAnsi"/>
                <w:b/>
                <w:bCs/>
                <w:lang w:val="en-GB"/>
              </w:rPr>
              <w:t>Relationship with Other Human Rights Instruments</w:t>
            </w:r>
          </w:p>
          <w:p w14:paraId="27750160" w14:textId="77777777" w:rsidR="00B75123" w:rsidRPr="008E42EE" w:rsidRDefault="00B75123" w:rsidP="008E42EE">
            <w:pPr>
              <w:jc w:val="both"/>
              <w:rPr>
                <w:rFonts w:asciiTheme="majorHAnsi" w:hAnsiTheme="majorHAnsi" w:cstheme="majorHAnsi"/>
                <w:b/>
                <w:bCs/>
                <w:lang w:val="en-GB"/>
              </w:rPr>
            </w:pPr>
          </w:p>
          <w:p w14:paraId="3D20CFC9" w14:textId="77777777" w:rsidR="008E42EE" w:rsidRPr="008E42EE" w:rsidRDefault="008E42EE" w:rsidP="008E42EE">
            <w:pPr>
              <w:jc w:val="both"/>
              <w:rPr>
                <w:rFonts w:asciiTheme="majorHAnsi" w:hAnsiTheme="majorHAnsi" w:cstheme="majorHAnsi"/>
                <w:lang w:val="en-GB"/>
              </w:rPr>
            </w:pPr>
            <w:r w:rsidRPr="008E42EE">
              <w:rPr>
                <w:rFonts w:asciiTheme="majorHAnsi" w:hAnsiTheme="majorHAnsi" w:cstheme="majorHAnsi"/>
                <w:lang w:val="en-GB"/>
              </w:rPr>
              <w:t xml:space="preserve">While Article 14 of the </w:t>
            </w:r>
            <w:proofErr w:type="spellStart"/>
            <w:r w:rsidRPr="008E42EE">
              <w:rPr>
                <w:rFonts w:asciiTheme="majorHAnsi" w:hAnsiTheme="majorHAnsi" w:cstheme="majorHAnsi"/>
                <w:lang w:val="en-GB"/>
              </w:rPr>
              <w:t>EChFR</w:t>
            </w:r>
            <w:proofErr w:type="spellEnd"/>
            <w:r w:rsidRPr="008E42EE">
              <w:rPr>
                <w:rFonts w:asciiTheme="majorHAnsi" w:hAnsiTheme="majorHAnsi" w:cstheme="majorHAnsi"/>
                <w:lang w:val="en-GB"/>
              </w:rPr>
              <w:t xml:space="preserve"> provides a </w:t>
            </w:r>
            <w:r w:rsidRPr="008E42EE">
              <w:rPr>
                <w:rFonts w:asciiTheme="majorHAnsi" w:hAnsiTheme="majorHAnsi" w:cstheme="majorHAnsi"/>
                <w:b/>
                <w:bCs/>
                <w:lang w:val="en-GB"/>
              </w:rPr>
              <w:t>comprehensive framework for education rights under EU law</w:t>
            </w:r>
            <w:r w:rsidRPr="008E42EE">
              <w:rPr>
                <w:rFonts w:asciiTheme="majorHAnsi" w:hAnsiTheme="majorHAnsi" w:cstheme="majorHAnsi"/>
                <w:lang w:val="en-GB"/>
              </w:rPr>
              <w:t>, it interacts with other legal instruments, including:</w:t>
            </w:r>
          </w:p>
          <w:p w14:paraId="2ED01741" w14:textId="77777777" w:rsidR="008E42EE" w:rsidRPr="008E42EE" w:rsidRDefault="008E42EE" w:rsidP="008E42EE">
            <w:pPr>
              <w:numPr>
                <w:ilvl w:val="0"/>
                <w:numId w:val="8"/>
              </w:numPr>
              <w:jc w:val="both"/>
              <w:rPr>
                <w:rFonts w:asciiTheme="majorHAnsi" w:hAnsiTheme="majorHAnsi" w:cstheme="majorHAnsi"/>
                <w:lang w:val="en-GB"/>
              </w:rPr>
            </w:pPr>
            <w:r w:rsidRPr="008E42EE">
              <w:rPr>
                <w:rFonts w:asciiTheme="majorHAnsi" w:hAnsiTheme="majorHAnsi" w:cstheme="majorHAnsi"/>
                <w:b/>
                <w:bCs/>
                <w:lang w:val="en-GB"/>
              </w:rPr>
              <w:t>Article 2 of Protocol No. 1 to the European Convention on Human Rights (ECHR)</w:t>
            </w:r>
            <w:r w:rsidRPr="008E42EE">
              <w:rPr>
                <w:rFonts w:asciiTheme="majorHAnsi" w:hAnsiTheme="majorHAnsi" w:cstheme="majorHAnsi"/>
                <w:lang w:val="en-GB"/>
              </w:rPr>
              <w:t>, which guarantees the right to education but with a narrower scope than the Charter.</w:t>
            </w:r>
          </w:p>
          <w:p w14:paraId="0018EC2A" w14:textId="77777777" w:rsidR="008E42EE" w:rsidRPr="008E42EE" w:rsidRDefault="008E42EE" w:rsidP="008E42EE">
            <w:pPr>
              <w:numPr>
                <w:ilvl w:val="0"/>
                <w:numId w:val="8"/>
              </w:numPr>
              <w:jc w:val="both"/>
              <w:rPr>
                <w:rFonts w:asciiTheme="majorHAnsi" w:hAnsiTheme="majorHAnsi" w:cstheme="majorHAnsi"/>
                <w:lang w:val="en-GB"/>
              </w:rPr>
            </w:pPr>
            <w:r w:rsidRPr="008E42EE">
              <w:rPr>
                <w:rFonts w:asciiTheme="majorHAnsi" w:hAnsiTheme="majorHAnsi" w:cstheme="majorHAnsi"/>
                <w:b/>
                <w:bCs/>
                <w:lang w:val="en-GB"/>
              </w:rPr>
              <w:t>The European Social Charter (ESC), Article 17</w:t>
            </w:r>
            <w:r w:rsidRPr="008E42EE">
              <w:rPr>
                <w:rFonts w:asciiTheme="majorHAnsi" w:hAnsiTheme="majorHAnsi" w:cstheme="majorHAnsi"/>
                <w:lang w:val="en-GB"/>
              </w:rPr>
              <w:t>, which provides protections for children's rights, including education.</w:t>
            </w:r>
          </w:p>
          <w:p w14:paraId="5728A8AD" w14:textId="77777777" w:rsidR="008E42EE" w:rsidRPr="008E42EE" w:rsidRDefault="008E42EE" w:rsidP="008E42EE">
            <w:pPr>
              <w:numPr>
                <w:ilvl w:val="0"/>
                <w:numId w:val="8"/>
              </w:numPr>
              <w:jc w:val="both"/>
              <w:rPr>
                <w:rFonts w:asciiTheme="majorHAnsi" w:hAnsiTheme="majorHAnsi" w:cstheme="majorHAnsi"/>
                <w:lang w:val="en-GB"/>
              </w:rPr>
            </w:pPr>
            <w:r w:rsidRPr="008E42EE">
              <w:rPr>
                <w:rFonts w:asciiTheme="majorHAnsi" w:hAnsiTheme="majorHAnsi" w:cstheme="majorHAnsi"/>
                <w:b/>
                <w:bCs/>
                <w:lang w:val="en-GB"/>
              </w:rPr>
              <w:t>International treaties</w:t>
            </w:r>
            <w:r w:rsidRPr="008E42EE">
              <w:rPr>
                <w:rFonts w:asciiTheme="majorHAnsi" w:hAnsiTheme="majorHAnsi" w:cstheme="majorHAnsi"/>
                <w:lang w:val="en-GB"/>
              </w:rPr>
              <w:t xml:space="preserve">, such as the </w:t>
            </w:r>
            <w:r w:rsidRPr="008E42EE">
              <w:rPr>
                <w:rFonts w:asciiTheme="majorHAnsi" w:hAnsiTheme="majorHAnsi" w:cstheme="majorHAnsi"/>
                <w:b/>
                <w:bCs/>
                <w:lang w:val="en-GB"/>
              </w:rPr>
              <w:t>UN Convention on the Rights of the Child (CRC)</w:t>
            </w:r>
            <w:r w:rsidRPr="008E42EE">
              <w:rPr>
                <w:rFonts w:asciiTheme="majorHAnsi" w:hAnsiTheme="majorHAnsi" w:cstheme="majorHAnsi"/>
                <w:lang w:val="en-GB"/>
              </w:rPr>
              <w:t xml:space="preserve"> and the </w:t>
            </w:r>
            <w:r w:rsidRPr="008E42EE">
              <w:rPr>
                <w:rFonts w:asciiTheme="majorHAnsi" w:hAnsiTheme="majorHAnsi" w:cstheme="majorHAnsi"/>
                <w:b/>
                <w:bCs/>
                <w:lang w:val="en-GB"/>
              </w:rPr>
              <w:t>International Covenant on Economic, Social and Cultural Rights (ICESCR), Article 13</w:t>
            </w:r>
            <w:r w:rsidRPr="008E42EE">
              <w:rPr>
                <w:rFonts w:asciiTheme="majorHAnsi" w:hAnsiTheme="majorHAnsi" w:cstheme="majorHAnsi"/>
                <w:lang w:val="en-GB"/>
              </w:rPr>
              <w:t>, both of which emphasize universal access to education.</w:t>
            </w:r>
          </w:p>
          <w:p w14:paraId="69481987" w14:textId="77777777" w:rsidR="008E42EE" w:rsidRDefault="008E42EE" w:rsidP="008E42EE">
            <w:pPr>
              <w:jc w:val="both"/>
              <w:rPr>
                <w:rFonts w:asciiTheme="majorHAnsi" w:hAnsiTheme="majorHAnsi" w:cstheme="majorHAnsi"/>
                <w:b/>
                <w:bCs/>
                <w:lang w:val="en-GB"/>
              </w:rPr>
            </w:pPr>
          </w:p>
          <w:p w14:paraId="4DDBCF23" w14:textId="41CCCFAE" w:rsidR="008E42EE" w:rsidRDefault="008E42EE" w:rsidP="008E42EE">
            <w:pPr>
              <w:jc w:val="both"/>
              <w:rPr>
                <w:rFonts w:asciiTheme="majorHAnsi" w:hAnsiTheme="majorHAnsi" w:cstheme="majorHAnsi"/>
                <w:b/>
                <w:bCs/>
                <w:lang w:val="en-GB"/>
              </w:rPr>
            </w:pPr>
            <w:r w:rsidRPr="008E42EE">
              <w:rPr>
                <w:rFonts w:asciiTheme="majorHAnsi" w:hAnsiTheme="majorHAnsi" w:cstheme="majorHAnsi"/>
                <w:b/>
                <w:bCs/>
                <w:lang w:val="en-GB"/>
              </w:rPr>
              <w:t>Key Considerations for Legal Practitioners</w:t>
            </w:r>
          </w:p>
          <w:p w14:paraId="1A2577F1" w14:textId="77777777" w:rsidR="00B75123" w:rsidRPr="008E42EE" w:rsidRDefault="00B75123" w:rsidP="008E42EE">
            <w:pPr>
              <w:jc w:val="both"/>
              <w:rPr>
                <w:rFonts w:asciiTheme="majorHAnsi" w:hAnsiTheme="majorHAnsi" w:cstheme="majorHAnsi"/>
                <w:b/>
                <w:bCs/>
                <w:lang w:val="en-GB"/>
              </w:rPr>
            </w:pPr>
          </w:p>
          <w:p w14:paraId="04A65479" w14:textId="77777777" w:rsidR="008E42EE" w:rsidRPr="008E42EE" w:rsidRDefault="008E42EE" w:rsidP="008E42EE">
            <w:pPr>
              <w:numPr>
                <w:ilvl w:val="0"/>
                <w:numId w:val="9"/>
              </w:numPr>
              <w:jc w:val="both"/>
              <w:rPr>
                <w:rFonts w:asciiTheme="majorHAnsi" w:hAnsiTheme="majorHAnsi" w:cstheme="majorHAnsi"/>
                <w:lang w:val="en-GB"/>
              </w:rPr>
            </w:pPr>
            <w:r w:rsidRPr="008E42EE">
              <w:rPr>
                <w:rFonts w:asciiTheme="majorHAnsi" w:hAnsiTheme="majorHAnsi" w:cstheme="majorHAnsi"/>
                <w:b/>
                <w:bCs/>
                <w:lang w:val="en-GB"/>
              </w:rPr>
              <w:t>When to invoke Article 14</w:t>
            </w:r>
            <w:r w:rsidRPr="008E42EE">
              <w:rPr>
                <w:rFonts w:asciiTheme="majorHAnsi" w:hAnsiTheme="majorHAnsi" w:cstheme="majorHAnsi"/>
                <w:lang w:val="en-GB"/>
              </w:rPr>
              <w:t xml:space="preserve">: It is best used in cases where </w:t>
            </w:r>
            <w:r w:rsidRPr="008E42EE">
              <w:rPr>
                <w:rFonts w:asciiTheme="majorHAnsi" w:hAnsiTheme="majorHAnsi" w:cstheme="majorHAnsi"/>
                <w:b/>
                <w:bCs/>
                <w:lang w:val="en-GB"/>
              </w:rPr>
              <w:t>EU law applies</w:t>
            </w:r>
            <w:r w:rsidRPr="008E42EE">
              <w:rPr>
                <w:rFonts w:asciiTheme="majorHAnsi" w:hAnsiTheme="majorHAnsi" w:cstheme="majorHAnsi"/>
                <w:lang w:val="en-GB"/>
              </w:rPr>
              <w:t>—for example, challenges related to cross-border access to education, vocational training rights, or discrimination in education.</w:t>
            </w:r>
          </w:p>
          <w:p w14:paraId="7C0368DD" w14:textId="77777777" w:rsidR="008E42EE" w:rsidRPr="008E42EE" w:rsidRDefault="008E42EE" w:rsidP="008E42EE">
            <w:pPr>
              <w:numPr>
                <w:ilvl w:val="0"/>
                <w:numId w:val="9"/>
              </w:numPr>
              <w:jc w:val="both"/>
              <w:rPr>
                <w:rFonts w:asciiTheme="majorHAnsi" w:hAnsiTheme="majorHAnsi" w:cstheme="majorHAnsi"/>
                <w:lang w:val="en-GB"/>
              </w:rPr>
            </w:pPr>
            <w:r w:rsidRPr="008E42EE">
              <w:rPr>
                <w:rFonts w:asciiTheme="majorHAnsi" w:hAnsiTheme="majorHAnsi" w:cstheme="majorHAnsi"/>
                <w:b/>
                <w:bCs/>
                <w:lang w:val="en-GB"/>
              </w:rPr>
              <w:t>Interaction with other Charter rights</w:t>
            </w:r>
            <w:r w:rsidRPr="008E42EE">
              <w:rPr>
                <w:rFonts w:asciiTheme="majorHAnsi" w:hAnsiTheme="majorHAnsi" w:cstheme="majorHAnsi"/>
                <w:lang w:val="en-GB"/>
              </w:rPr>
              <w:t xml:space="preserve">: Article 14 is often invoked alongside </w:t>
            </w:r>
            <w:r w:rsidRPr="008E42EE">
              <w:rPr>
                <w:rFonts w:asciiTheme="majorHAnsi" w:hAnsiTheme="majorHAnsi" w:cstheme="majorHAnsi"/>
                <w:b/>
                <w:bCs/>
                <w:lang w:val="en-GB"/>
              </w:rPr>
              <w:t>Article 21 (Non-Discrimination)</w:t>
            </w:r>
            <w:r w:rsidRPr="008E42EE">
              <w:rPr>
                <w:rFonts w:asciiTheme="majorHAnsi" w:hAnsiTheme="majorHAnsi" w:cstheme="majorHAnsi"/>
                <w:lang w:val="en-GB"/>
              </w:rPr>
              <w:t xml:space="preserve"> and </w:t>
            </w:r>
            <w:r w:rsidRPr="008E42EE">
              <w:rPr>
                <w:rFonts w:asciiTheme="majorHAnsi" w:hAnsiTheme="majorHAnsi" w:cstheme="majorHAnsi"/>
                <w:b/>
                <w:bCs/>
                <w:lang w:val="en-GB"/>
              </w:rPr>
              <w:t>Article 47 (Right to an Effective Remedy and a Fair Trial)</w:t>
            </w:r>
            <w:r w:rsidRPr="008E42EE">
              <w:rPr>
                <w:rFonts w:asciiTheme="majorHAnsi" w:hAnsiTheme="majorHAnsi" w:cstheme="majorHAnsi"/>
                <w:lang w:val="en-GB"/>
              </w:rPr>
              <w:t xml:space="preserve"> to strengthen claims of educational rights violations.</w:t>
            </w:r>
          </w:p>
          <w:p w14:paraId="29DAEE5B" w14:textId="77777777" w:rsidR="008E42EE" w:rsidRPr="008E42EE" w:rsidRDefault="008E42EE" w:rsidP="008E42EE">
            <w:pPr>
              <w:numPr>
                <w:ilvl w:val="0"/>
                <w:numId w:val="9"/>
              </w:numPr>
              <w:jc w:val="both"/>
              <w:rPr>
                <w:rFonts w:asciiTheme="majorHAnsi" w:hAnsiTheme="majorHAnsi" w:cstheme="majorHAnsi"/>
                <w:lang w:val="en-GB"/>
              </w:rPr>
            </w:pPr>
            <w:r w:rsidRPr="008E42EE">
              <w:rPr>
                <w:rFonts w:asciiTheme="majorHAnsi" w:hAnsiTheme="majorHAnsi" w:cstheme="majorHAnsi"/>
                <w:b/>
                <w:bCs/>
                <w:lang w:val="en-GB"/>
              </w:rPr>
              <w:t>Limitations and restrictions</w:t>
            </w:r>
            <w:r w:rsidRPr="008E42EE">
              <w:rPr>
                <w:rFonts w:asciiTheme="majorHAnsi" w:hAnsiTheme="majorHAnsi" w:cstheme="majorHAnsi"/>
                <w:lang w:val="en-GB"/>
              </w:rPr>
              <w:t xml:space="preserve">: The right to education is subject to </w:t>
            </w:r>
            <w:r w:rsidRPr="008E42EE">
              <w:rPr>
                <w:rFonts w:asciiTheme="majorHAnsi" w:hAnsiTheme="majorHAnsi" w:cstheme="majorHAnsi"/>
                <w:b/>
                <w:bCs/>
                <w:lang w:val="en-GB"/>
              </w:rPr>
              <w:t>proportionality principles</w:t>
            </w:r>
            <w:r w:rsidRPr="008E42EE">
              <w:rPr>
                <w:rFonts w:asciiTheme="majorHAnsi" w:hAnsiTheme="majorHAnsi" w:cstheme="majorHAnsi"/>
                <w:lang w:val="en-GB"/>
              </w:rPr>
              <w:t>—states may impose reasonable conditions, such as language requirements, provided they do not lead to unjustified discrimination</w:t>
            </w:r>
          </w:p>
          <w:p w14:paraId="4D3BEC7A" w14:textId="77777777" w:rsidR="008E42EE" w:rsidRDefault="008E42EE" w:rsidP="003D0AD2">
            <w:pPr>
              <w:jc w:val="both"/>
              <w:rPr>
                <w:rFonts w:asciiTheme="majorHAnsi" w:hAnsiTheme="majorHAnsi" w:cstheme="majorHAnsi"/>
                <w:lang w:val="en-US"/>
              </w:rPr>
            </w:pPr>
          </w:p>
          <w:p w14:paraId="798DB7E2" w14:textId="77777777" w:rsidR="003D0AD2" w:rsidRPr="00AE36E2" w:rsidRDefault="003D0AD2" w:rsidP="00CD2B58">
            <w:pPr>
              <w:jc w:val="both"/>
              <w:rPr>
                <w:rFonts w:asciiTheme="majorHAnsi" w:hAnsiTheme="majorHAnsi" w:cstheme="majorHAnsi"/>
                <w:strike/>
                <w:lang w:val="en-US"/>
              </w:rPr>
            </w:pPr>
          </w:p>
          <w:p w14:paraId="66CA1AEC" w14:textId="77777777" w:rsidR="004623AC" w:rsidRPr="00AE36E2" w:rsidRDefault="004623AC" w:rsidP="008E42EE">
            <w:pPr>
              <w:jc w:val="both"/>
              <w:rPr>
                <w:rFonts w:asciiTheme="majorHAnsi" w:hAnsiTheme="majorHAnsi" w:cstheme="majorHAnsi"/>
                <w:i/>
                <w:iCs/>
                <w:lang w:val="en-US"/>
              </w:rPr>
            </w:pPr>
          </w:p>
        </w:tc>
      </w:tr>
      <w:tr w:rsidR="00664DF4" w:rsidRPr="00470C01" w14:paraId="3462715B" w14:textId="77777777" w:rsidTr="008D2374">
        <w:tc>
          <w:tcPr>
            <w:tcW w:w="8926" w:type="dxa"/>
          </w:tcPr>
          <w:p w14:paraId="75074EAE" w14:textId="7A84EB65" w:rsidR="00664DF4" w:rsidRPr="00AE36E2" w:rsidRDefault="00AE36E2" w:rsidP="00CD2B58">
            <w:pPr>
              <w:rPr>
                <w:rFonts w:ascii="Calibri" w:hAnsi="Calibri" w:cs="Calibri"/>
                <w:b/>
                <w:bCs/>
                <w:sz w:val="28"/>
                <w:szCs w:val="28"/>
                <w:lang w:val="en-US"/>
              </w:rPr>
            </w:pPr>
            <w:r w:rsidRPr="00AE36E2">
              <w:rPr>
                <w:rFonts w:ascii="Calibri" w:hAnsi="Calibri" w:cs="Calibri"/>
                <w:b/>
                <w:bCs/>
                <w:color w:val="0070C0"/>
                <w:sz w:val="28"/>
                <w:szCs w:val="28"/>
                <w:lang w:val="en-US"/>
              </w:rPr>
              <w:lastRenderedPageBreak/>
              <w:t>CJEU Case Law</w:t>
            </w:r>
          </w:p>
        </w:tc>
      </w:tr>
      <w:tr w:rsidR="00664DF4" w:rsidRPr="00470C01" w14:paraId="6E5BB17C" w14:textId="77777777" w:rsidTr="008D2374">
        <w:tc>
          <w:tcPr>
            <w:tcW w:w="8926" w:type="dxa"/>
          </w:tcPr>
          <w:p w14:paraId="3FA38B8C" w14:textId="77777777" w:rsidR="00664DF4" w:rsidRDefault="00664DF4" w:rsidP="00AE36E2">
            <w:pPr>
              <w:pStyle w:val="Paragraphedeliste"/>
              <w:ind w:left="709"/>
              <w:jc w:val="both"/>
              <w:rPr>
                <w:b/>
                <w:bCs/>
              </w:rPr>
            </w:pPr>
          </w:p>
          <w:p w14:paraId="002D4B63" w14:textId="77777777" w:rsidR="00130F17" w:rsidRPr="00AE36E2" w:rsidRDefault="00556E79" w:rsidP="00AE36E2">
            <w:pPr>
              <w:jc w:val="both"/>
              <w:rPr>
                <w:b/>
                <w:bCs/>
              </w:rPr>
            </w:pPr>
            <w:r w:rsidRPr="00AE36E2">
              <w:rPr>
                <w:b/>
                <w:bCs/>
              </w:rPr>
              <w:t xml:space="preserve">CJEU </w:t>
            </w:r>
            <w:proofErr w:type="spellStart"/>
            <w:r w:rsidRPr="00AE36E2">
              <w:rPr>
                <w:b/>
                <w:bCs/>
              </w:rPr>
              <w:t>Joined</w:t>
            </w:r>
            <w:proofErr w:type="spellEnd"/>
            <w:r w:rsidRPr="00AE36E2">
              <w:rPr>
                <w:b/>
                <w:bCs/>
              </w:rPr>
              <w:t xml:space="preserve"> Cases C-804/18 and C-341/19:  IX v WABE eV and MH Müller </w:t>
            </w:r>
            <w:proofErr w:type="spellStart"/>
            <w:r w:rsidRPr="00AE36E2">
              <w:rPr>
                <w:b/>
                <w:bCs/>
              </w:rPr>
              <w:t>Handels</w:t>
            </w:r>
            <w:proofErr w:type="spellEnd"/>
            <w:r w:rsidRPr="00AE36E2">
              <w:rPr>
                <w:b/>
                <w:bCs/>
              </w:rPr>
              <w:t xml:space="preserve"> </w:t>
            </w:r>
            <w:proofErr w:type="spellStart"/>
            <w:r w:rsidRPr="00AE36E2">
              <w:rPr>
                <w:b/>
                <w:bCs/>
              </w:rPr>
              <w:t>GmbH</w:t>
            </w:r>
            <w:proofErr w:type="spellEnd"/>
            <w:r w:rsidRPr="00AE36E2">
              <w:rPr>
                <w:b/>
                <w:bCs/>
              </w:rPr>
              <w:t xml:space="preserve"> v MJ</w:t>
            </w:r>
          </w:p>
          <w:p w14:paraId="113B818F" w14:textId="77777777" w:rsidR="00130F17" w:rsidRDefault="00D4054E" w:rsidP="00AE36E2">
            <w:pPr>
              <w:jc w:val="both"/>
              <w:rPr>
                <w:bCs/>
                <w:i/>
              </w:rPr>
            </w:pPr>
            <w:r w:rsidRPr="00130F17">
              <w:rPr>
                <w:bCs/>
                <w:i/>
              </w:rPr>
              <w:t xml:space="preserve">Key </w:t>
            </w:r>
            <w:proofErr w:type="spellStart"/>
            <w:r w:rsidRPr="00130F17">
              <w:rPr>
                <w:bCs/>
                <w:i/>
              </w:rPr>
              <w:t>words</w:t>
            </w:r>
            <w:proofErr w:type="spellEnd"/>
            <w:r w:rsidRPr="00130F17">
              <w:rPr>
                <w:bCs/>
                <w:i/>
              </w:rPr>
              <w:t xml:space="preserve">: </w:t>
            </w:r>
            <w:proofErr w:type="spellStart"/>
            <w:r w:rsidR="00556E79" w:rsidRPr="00556E79">
              <w:rPr>
                <w:bCs/>
                <w:i/>
              </w:rPr>
              <w:t>Equal</w:t>
            </w:r>
            <w:proofErr w:type="spellEnd"/>
            <w:r w:rsidR="00556E79" w:rsidRPr="00556E79">
              <w:rPr>
                <w:bCs/>
                <w:i/>
              </w:rPr>
              <w:t xml:space="preserve"> </w:t>
            </w:r>
            <w:proofErr w:type="spellStart"/>
            <w:r w:rsidR="00556E79" w:rsidRPr="00556E79">
              <w:rPr>
                <w:bCs/>
                <w:i/>
              </w:rPr>
              <w:t>treatment</w:t>
            </w:r>
            <w:proofErr w:type="spellEnd"/>
            <w:r w:rsidR="00556E79" w:rsidRPr="00556E79">
              <w:rPr>
                <w:bCs/>
                <w:i/>
              </w:rPr>
              <w:t xml:space="preserve"> in </w:t>
            </w:r>
            <w:proofErr w:type="spellStart"/>
            <w:r w:rsidR="00556E79" w:rsidRPr="00556E79">
              <w:rPr>
                <w:bCs/>
                <w:i/>
              </w:rPr>
              <w:t>employment</w:t>
            </w:r>
            <w:proofErr w:type="spellEnd"/>
            <w:r w:rsidR="00556E79" w:rsidRPr="00556E79">
              <w:rPr>
                <w:bCs/>
                <w:i/>
              </w:rPr>
              <w:t xml:space="preserve"> and </w:t>
            </w:r>
            <w:proofErr w:type="spellStart"/>
            <w:r w:rsidR="00556E79" w:rsidRPr="00556E79">
              <w:rPr>
                <w:bCs/>
                <w:i/>
              </w:rPr>
              <w:t>occupation</w:t>
            </w:r>
            <w:proofErr w:type="spellEnd"/>
            <w:r w:rsidR="00556E79" w:rsidRPr="00556E79">
              <w:rPr>
                <w:bCs/>
                <w:i/>
              </w:rPr>
              <w:t xml:space="preserve"> – </w:t>
            </w:r>
            <w:proofErr w:type="spellStart"/>
            <w:r w:rsidR="00556E79" w:rsidRPr="00556E79">
              <w:rPr>
                <w:bCs/>
                <w:i/>
              </w:rPr>
              <w:t>Prohibition</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discrimination</w:t>
            </w:r>
            <w:proofErr w:type="spellEnd"/>
            <w:r w:rsidR="00556E79" w:rsidRPr="00556E79">
              <w:rPr>
                <w:bCs/>
                <w:i/>
              </w:rPr>
              <w:t xml:space="preserve"> </w:t>
            </w:r>
            <w:proofErr w:type="spellStart"/>
            <w:r w:rsidR="00556E79" w:rsidRPr="00556E79">
              <w:rPr>
                <w:bCs/>
                <w:i/>
              </w:rPr>
              <w:t>on</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grounds</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religion</w:t>
            </w:r>
            <w:proofErr w:type="spellEnd"/>
            <w:r w:rsidR="00556E79" w:rsidRPr="00556E79">
              <w:rPr>
                <w:bCs/>
                <w:i/>
              </w:rPr>
              <w:t xml:space="preserve"> </w:t>
            </w:r>
            <w:proofErr w:type="spellStart"/>
            <w:r w:rsidR="00556E79" w:rsidRPr="00556E79">
              <w:rPr>
                <w:bCs/>
                <w:i/>
              </w:rPr>
              <w:t>or</w:t>
            </w:r>
            <w:proofErr w:type="spellEnd"/>
            <w:r w:rsidR="00556E79" w:rsidRPr="00556E79">
              <w:rPr>
                <w:bCs/>
                <w:i/>
              </w:rPr>
              <w:t xml:space="preserve"> </w:t>
            </w:r>
            <w:proofErr w:type="spellStart"/>
            <w:r w:rsidR="00556E79" w:rsidRPr="00556E79">
              <w:rPr>
                <w:bCs/>
                <w:i/>
              </w:rPr>
              <w:t>belief</w:t>
            </w:r>
            <w:proofErr w:type="spellEnd"/>
            <w:r w:rsidR="00556E79" w:rsidRPr="00556E79">
              <w:rPr>
                <w:bCs/>
                <w:i/>
              </w:rPr>
              <w:t xml:space="preserve"> – </w:t>
            </w:r>
            <w:proofErr w:type="spellStart"/>
            <w:r w:rsidR="00556E79" w:rsidRPr="00556E79">
              <w:rPr>
                <w:bCs/>
                <w:i/>
              </w:rPr>
              <w:t>Internal</w:t>
            </w:r>
            <w:proofErr w:type="spellEnd"/>
            <w:r w:rsidR="00556E79" w:rsidRPr="00556E79">
              <w:rPr>
                <w:bCs/>
                <w:i/>
              </w:rPr>
              <w:t xml:space="preserve"> rule </w:t>
            </w:r>
            <w:proofErr w:type="spellStart"/>
            <w:r w:rsidR="00556E79" w:rsidRPr="00556E79">
              <w:rPr>
                <w:bCs/>
                <w:i/>
              </w:rPr>
              <w:t>of</w:t>
            </w:r>
            <w:proofErr w:type="spellEnd"/>
            <w:r w:rsidR="00556E79" w:rsidRPr="00556E79">
              <w:rPr>
                <w:bCs/>
                <w:i/>
              </w:rPr>
              <w:t xml:space="preserve"> a </w:t>
            </w:r>
            <w:proofErr w:type="spellStart"/>
            <w:r w:rsidR="00556E79" w:rsidRPr="00556E79">
              <w:rPr>
                <w:bCs/>
                <w:i/>
              </w:rPr>
              <w:t>private</w:t>
            </w:r>
            <w:proofErr w:type="spellEnd"/>
            <w:r w:rsidR="00556E79" w:rsidRPr="00556E79">
              <w:rPr>
                <w:bCs/>
                <w:i/>
              </w:rPr>
              <w:t xml:space="preserve"> </w:t>
            </w:r>
            <w:proofErr w:type="spellStart"/>
            <w:r w:rsidR="00556E79" w:rsidRPr="00556E79">
              <w:rPr>
                <w:bCs/>
                <w:i/>
              </w:rPr>
              <w:t>undertaking</w:t>
            </w:r>
            <w:proofErr w:type="spellEnd"/>
            <w:r w:rsidR="00556E79" w:rsidRPr="00556E79">
              <w:rPr>
                <w:bCs/>
                <w:i/>
              </w:rPr>
              <w:t xml:space="preserve"> </w:t>
            </w:r>
            <w:proofErr w:type="spellStart"/>
            <w:r w:rsidR="00556E79" w:rsidRPr="00556E79">
              <w:rPr>
                <w:bCs/>
                <w:i/>
              </w:rPr>
              <w:t>prohibiting</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wearing</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any</w:t>
            </w:r>
            <w:proofErr w:type="spellEnd"/>
            <w:r w:rsidR="00556E79" w:rsidRPr="00556E79">
              <w:rPr>
                <w:bCs/>
                <w:i/>
              </w:rPr>
              <w:t xml:space="preserve"> visible </w:t>
            </w:r>
            <w:proofErr w:type="spellStart"/>
            <w:r w:rsidR="00556E79" w:rsidRPr="00556E79">
              <w:rPr>
                <w:bCs/>
                <w:i/>
              </w:rPr>
              <w:t>political</w:t>
            </w:r>
            <w:proofErr w:type="spellEnd"/>
            <w:r w:rsidR="00556E79" w:rsidRPr="00556E79">
              <w:rPr>
                <w:bCs/>
                <w:i/>
              </w:rPr>
              <w:t xml:space="preserve">, </w:t>
            </w:r>
            <w:proofErr w:type="spellStart"/>
            <w:r w:rsidR="00556E79" w:rsidRPr="00556E79">
              <w:rPr>
                <w:bCs/>
                <w:i/>
              </w:rPr>
              <w:t>philosophical</w:t>
            </w:r>
            <w:proofErr w:type="spellEnd"/>
            <w:r w:rsidR="00556E79" w:rsidRPr="00556E79">
              <w:rPr>
                <w:bCs/>
                <w:i/>
              </w:rPr>
              <w:t xml:space="preserve"> </w:t>
            </w:r>
            <w:proofErr w:type="spellStart"/>
            <w:r w:rsidR="00556E79" w:rsidRPr="00556E79">
              <w:rPr>
                <w:bCs/>
                <w:i/>
              </w:rPr>
              <w:t>or</w:t>
            </w:r>
            <w:proofErr w:type="spellEnd"/>
            <w:r w:rsidR="00556E79" w:rsidRPr="00556E79">
              <w:rPr>
                <w:bCs/>
                <w:i/>
              </w:rPr>
              <w:t xml:space="preserve"> </w:t>
            </w:r>
            <w:proofErr w:type="spellStart"/>
            <w:r w:rsidR="00556E79" w:rsidRPr="00556E79">
              <w:rPr>
                <w:bCs/>
                <w:i/>
              </w:rPr>
              <w:t>religious</w:t>
            </w:r>
            <w:proofErr w:type="spellEnd"/>
            <w:r w:rsidR="00556E79" w:rsidRPr="00556E79">
              <w:rPr>
                <w:bCs/>
                <w:i/>
              </w:rPr>
              <w:t xml:space="preserve"> </w:t>
            </w:r>
            <w:proofErr w:type="spellStart"/>
            <w:r w:rsidR="00556E79" w:rsidRPr="00556E79">
              <w:rPr>
                <w:bCs/>
                <w:i/>
              </w:rPr>
              <w:t>sign</w:t>
            </w:r>
            <w:proofErr w:type="spellEnd"/>
            <w:r w:rsidR="00556E79" w:rsidRPr="00556E79">
              <w:rPr>
                <w:bCs/>
                <w:i/>
              </w:rPr>
              <w:t xml:space="preserve"> </w:t>
            </w:r>
            <w:proofErr w:type="spellStart"/>
            <w:r w:rsidR="00556E79" w:rsidRPr="00556E79">
              <w:rPr>
                <w:bCs/>
                <w:i/>
              </w:rPr>
              <w:t>or</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wearing</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conspicuous</w:t>
            </w:r>
            <w:proofErr w:type="spellEnd"/>
            <w:r w:rsidR="00556E79" w:rsidRPr="00556E79">
              <w:rPr>
                <w:bCs/>
                <w:i/>
              </w:rPr>
              <w:t xml:space="preserve">, </w:t>
            </w:r>
            <w:proofErr w:type="spellStart"/>
            <w:r w:rsidR="00556E79" w:rsidRPr="00556E79">
              <w:rPr>
                <w:bCs/>
                <w:i/>
              </w:rPr>
              <w:t>large-sized</w:t>
            </w:r>
            <w:proofErr w:type="spellEnd"/>
            <w:r w:rsidR="00556E79" w:rsidRPr="00556E79">
              <w:rPr>
                <w:bCs/>
                <w:i/>
              </w:rPr>
              <w:t xml:space="preserve"> </w:t>
            </w:r>
            <w:proofErr w:type="spellStart"/>
            <w:r w:rsidR="00556E79" w:rsidRPr="00556E79">
              <w:rPr>
                <w:bCs/>
                <w:i/>
              </w:rPr>
              <w:t>political</w:t>
            </w:r>
            <w:proofErr w:type="spellEnd"/>
            <w:r w:rsidR="00556E79" w:rsidRPr="00556E79">
              <w:rPr>
                <w:bCs/>
                <w:i/>
              </w:rPr>
              <w:t xml:space="preserve">, </w:t>
            </w:r>
            <w:proofErr w:type="spellStart"/>
            <w:r w:rsidR="00556E79" w:rsidRPr="00556E79">
              <w:rPr>
                <w:bCs/>
                <w:i/>
              </w:rPr>
              <w:t>philosophical</w:t>
            </w:r>
            <w:proofErr w:type="spellEnd"/>
            <w:r w:rsidR="00556E79" w:rsidRPr="00556E79">
              <w:rPr>
                <w:bCs/>
                <w:i/>
              </w:rPr>
              <w:t xml:space="preserve"> </w:t>
            </w:r>
            <w:proofErr w:type="spellStart"/>
            <w:r w:rsidR="00556E79" w:rsidRPr="00556E79">
              <w:rPr>
                <w:bCs/>
                <w:i/>
              </w:rPr>
              <w:t>or</w:t>
            </w:r>
            <w:proofErr w:type="spellEnd"/>
            <w:r w:rsidR="00556E79" w:rsidRPr="00556E79">
              <w:rPr>
                <w:bCs/>
                <w:i/>
              </w:rPr>
              <w:t xml:space="preserve"> </w:t>
            </w:r>
            <w:proofErr w:type="spellStart"/>
            <w:r w:rsidR="00556E79" w:rsidRPr="00556E79">
              <w:rPr>
                <w:bCs/>
                <w:i/>
              </w:rPr>
              <w:t>religious</w:t>
            </w:r>
            <w:proofErr w:type="spellEnd"/>
            <w:r w:rsidR="00556E79" w:rsidRPr="00556E79">
              <w:rPr>
                <w:bCs/>
                <w:i/>
              </w:rPr>
              <w:t xml:space="preserve"> </w:t>
            </w:r>
            <w:proofErr w:type="spellStart"/>
            <w:r w:rsidR="00556E79" w:rsidRPr="00556E79">
              <w:rPr>
                <w:bCs/>
                <w:i/>
              </w:rPr>
              <w:t>signs</w:t>
            </w:r>
            <w:proofErr w:type="spellEnd"/>
            <w:r w:rsidR="00556E79" w:rsidRPr="00556E79">
              <w:rPr>
                <w:bCs/>
                <w:i/>
              </w:rPr>
              <w:t xml:space="preserve"> in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workplace</w:t>
            </w:r>
            <w:proofErr w:type="spellEnd"/>
            <w:r w:rsidR="00556E79" w:rsidRPr="00556E79">
              <w:rPr>
                <w:bCs/>
                <w:i/>
              </w:rPr>
              <w:t xml:space="preserve"> – Direct </w:t>
            </w:r>
            <w:proofErr w:type="spellStart"/>
            <w:r w:rsidR="00556E79" w:rsidRPr="00556E79">
              <w:rPr>
                <w:bCs/>
                <w:i/>
              </w:rPr>
              <w:lastRenderedPageBreak/>
              <w:t>or</w:t>
            </w:r>
            <w:proofErr w:type="spellEnd"/>
            <w:r w:rsidR="00556E79" w:rsidRPr="00556E79">
              <w:rPr>
                <w:bCs/>
                <w:i/>
              </w:rPr>
              <w:t xml:space="preserve"> </w:t>
            </w:r>
            <w:proofErr w:type="spellStart"/>
            <w:r w:rsidR="00556E79" w:rsidRPr="00556E79">
              <w:rPr>
                <w:bCs/>
                <w:i/>
              </w:rPr>
              <w:t>indirect</w:t>
            </w:r>
            <w:proofErr w:type="spellEnd"/>
            <w:r w:rsidR="00556E79" w:rsidRPr="00556E79">
              <w:rPr>
                <w:bCs/>
                <w:i/>
              </w:rPr>
              <w:t xml:space="preserve"> </w:t>
            </w:r>
            <w:proofErr w:type="spellStart"/>
            <w:r w:rsidR="00556E79" w:rsidRPr="00556E79">
              <w:rPr>
                <w:bCs/>
                <w:i/>
              </w:rPr>
              <w:t>discrimination</w:t>
            </w:r>
            <w:proofErr w:type="spellEnd"/>
            <w:r w:rsidR="00556E79" w:rsidRPr="00556E79">
              <w:rPr>
                <w:bCs/>
                <w:i/>
              </w:rPr>
              <w:t xml:space="preserve"> – </w:t>
            </w:r>
            <w:proofErr w:type="spellStart"/>
            <w:r w:rsidR="00556E79" w:rsidRPr="00556E79">
              <w:rPr>
                <w:bCs/>
                <w:i/>
              </w:rPr>
              <w:t>Proportionality</w:t>
            </w:r>
            <w:proofErr w:type="spellEnd"/>
            <w:r w:rsidR="00556E79" w:rsidRPr="00556E79">
              <w:rPr>
                <w:bCs/>
                <w:i/>
              </w:rPr>
              <w:t xml:space="preserve"> – </w:t>
            </w:r>
            <w:proofErr w:type="spellStart"/>
            <w:r w:rsidR="00556E79" w:rsidRPr="00556E79">
              <w:rPr>
                <w:bCs/>
                <w:i/>
              </w:rPr>
              <w:t>Balancing</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freedom</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religion</w:t>
            </w:r>
            <w:proofErr w:type="spellEnd"/>
            <w:r w:rsidR="00556E79" w:rsidRPr="00556E79">
              <w:rPr>
                <w:bCs/>
                <w:i/>
              </w:rPr>
              <w:t xml:space="preserve"> and </w:t>
            </w:r>
            <w:proofErr w:type="spellStart"/>
            <w:r w:rsidR="00556E79" w:rsidRPr="00556E79">
              <w:rPr>
                <w:bCs/>
                <w:i/>
              </w:rPr>
              <w:t>other</w:t>
            </w:r>
            <w:proofErr w:type="spellEnd"/>
            <w:r w:rsidR="00556E79" w:rsidRPr="00556E79">
              <w:rPr>
                <w:bCs/>
                <w:i/>
              </w:rPr>
              <w:t xml:space="preserve"> fundamental </w:t>
            </w:r>
            <w:proofErr w:type="spellStart"/>
            <w:r w:rsidR="00556E79" w:rsidRPr="00556E79">
              <w:rPr>
                <w:bCs/>
                <w:i/>
              </w:rPr>
              <w:t>rights</w:t>
            </w:r>
            <w:proofErr w:type="spellEnd"/>
            <w:r w:rsidR="00556E79" w:rsidRPr="00556E79">
              <w:rPr>
                <w:bCs/>
                <w:i/>
              </w:rPr>
              <w:t xml:space="preserve"> – </w:t>
            </w:r>
            <w:proofErr w:type="spellStart"/>
            <w:r w:rsidR="00556E79" w:rsidRPr="00556E79">
              <w:rPr>
                <w:bCs/>
                <w:i/>
              </w:rPr>
              <w:t>Legitimacy</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policy</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neutrality</w:t>
            </w:r>
            <w:proofErr w:type="spellEnd"/>
            <w:r w:rsidR="00556E79" w:rsidRPr="00556E79">
              <w:rPr>
                <w:bCs/>
                <w:i/>
              </w:rPr>
              <w:t xml:space="preserve"> </w:t>
            </w:r>
            <w:proofErr w:type="spellStart"/>
            <w:r w:rsidR="00556E79" w:rsidRPr="00556E79">
              <w:rPr>
                <w:bCs/>
                <w:i/>
              </w:rPr>
              <w:t>adopted</w:t>
            </w:r>
            <w:proofErr w:type="spellEnd"/>
            <w:r w:rsidR="00556E79" w:rsidRPr="00556E79">
              <w:rPr>
                <w:bCs/>
                <w:i/>
              </w:rPr>
              <w:t xml:space="preserve"> </w:t>
            </w:r>
            <w:proofErr w:type="spellStart"/>
            <w:r w:rsidR="00556E79" w:rsidRPr="00556E79">
              <w:rPr>
                <w:bCs/>
                <w:i/>
              </w:rPr>
              <w:t>by</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employer</w:t>
            </w:r>
            <w:proofErr w:type="spellEnd"/>
            <w:r w:rsidR="00556E79" w:rsidRPr="00556E79">
              <w:rPr>
                <w:bCs/>
                <w:i/>
              </w:rPr>
              <w:t xml:space="preserve"> – </w:t>
            </w:r>
            <w:proofErr w:type="spellStart"/>
            <w:r w:rsidR="00556E79" w:rsidRPr="00556E79">
              <w:rPr>
                <w:bCs/>
                <w:i/>
              </w:rPr>
              <w:t>Need</w:t>
            </w:r>
            <w:proofErr w:type="spellEnd"/>
            <w:r w:rsidR="00556E79" w:rsidRPr="00556E79">
              <w:rPr>
                <w:bCs/>
                <w:i/>
              </w:rPr>
              <w:t xml:space="preserve"> </w:t>
            </w:r>
            <w:proofErr w:type="spellStart"/>
            <w:r w:rsidR="00556E79" w:rsidRPr="00556E79">
              <w:rPr>
                <w:bCs/>
                <w:i/>
              </w:rPr>
              <w:t>to</w:t>
            </w:r>
            <w:proofErr w:type="spellEnd"/>
            <w:r w:rsidR="00556E79" w:rsidRPr="00556E79">
              <w:rPr>
                <w:bCs/>
                <w:i/>
              </w:rPr>
              <w:t xml:space="preserve"> </w:t>
            </w:r>
            <w:proofErr w:type="spellStart"/>
            <w:r w:rsidR="00556E79" w:rsidRPr="00556E79">
              <w:rPr>
                <w:bCs/>
                <w:i/>
              </w:rPr>
              <w:t>establish</w:t>
            </w:r>
            <w:proofErr w:type="spellEnd"/>
            <w:r w:rsidR="00556E79" w:rsidRPr="00556E79">
              <w:rPr>
                <w:bCs/>
                <w:i/>
              </w:rPr>
              <w:t xml:space="preserve"> </w:t>
            </w:r>
            <w:proofErr w:type="spellStart"/>
            <w:r w:rsidR="00556E79" w:rsidRPr="00556E79">
              <w:rPr>
                <w:bCs/>
                <w:i/>
              </w:rPr>
              <w:t>economic</w:t>
            </w:r>
            <w:proofErr w:type="spellEnd"/>
            <w:r w:rsidR="00556E79" w:rsidRPr="00556E79">
              <w:rPr>
                <w:bCs/>
                <w:i/>
              </w:rPr>
              <w:t xml:space="preserve"> </w:t>
            </w:r>
            <w:proofErr w:type="spellStart"/>
            <w:r w:rsidR="00556E79" w:rsidRPr="00556E79">
              <w:rPr>
                <w:bCs/>
                <w:i/>
              </w:rPr>
              <w:t>loss</w:t>
            </w:r>
            <w:proofErr w:type="spellEnd"/>
            <w:r w:rsidR="00556E79" w:rsidRPr="00556E79">
              <w:rPr>
                <w:bCs/>
                <w:i/>
              </w:rPr>
              <w:t xml:space="preserve"> </w:t>
            </w:r>
            <w:proofErr w:type="spellStart"/>
            <w:r w:rsidR="00556E79" w:rsidRPr="00556E79">
              <w:rPr>
                <w:bCs/>
                <w:i/>
              </w:rPr>
              <w:t>suffered</w:t>
            </w:r>
            <w:proofErr w:type="spellEnd"/>
            <w:r w:rsidR="00556E79" w:rsidRPr="00556E79">
              <w:rPr>
                <w:bCs/>
                <w:i/>
              </w:rPr>
              <w:t xml:space="preserve"> </w:t>
            </w:r>
            <w:proofErr w:type="spellStart"/>
            <w:r w:rsidR="00556E79" w:rsidRPr="00556E79">
              <w:rPr>
                <w:bCs/>
                <w:i/>
              </w:rPr>
              <w:t>by</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employer</w:t>
            </w:r>
            <w:proofErr w:type="spellEnd"/>
          </w:p>
          <w:p w14:paraId="32E5FDFA" w14:textId="77777777" w:rsidR="00556E79" w:rsidRDefault="00556E79" w:rsidP="00AE36E2">
            <w:pPr>
              <w:jc w:val="both"/>
              <w:rPr>
                <w:b/>
                <w:bCs/>
              </w:rPr>
            </w:pPr>
          </w:p>
          <w:p w14:paraId="57811604" w14:textId="77777777" w:rsidR="008D2374" w:rsidRDefault="008D2374" w:rsidP="00AE36E2">
            <w:pPr>
              <w:jc w:val="both"/>
              <w:rPr>
                <w:b/>
                <w:bCs/>
              </w:rPr>
            </w:pPr>
          </w:p>
          <w:p w14:paraId="3C4D2E0C" w14:textId="77777777" w:rsidR="00D4054E" w:rsidRPr="00AE36E2" w:rsidRDefault="00556E79" w:rsidP="00AE36E2">
            <w:pPr>
              <w:jc w:val="both"/>
              <w:rPr>
                <w:b/>
                <w:bCs/>
              </w:rPr>
            </w:pPr>
            <w:r w:rsidRPr="00AE36E2">
              <w:rPr>
                <w:b/>
                <w:bCs/>
              </w:rPr>
              <w:t xml:space="preserve">CJEU Case C-66/18 / </w:t>
            </w:r>
            <w:proofErr w:type="spellStart"/>
            <w:r w:rsidRPr="00AE36E2">
              <w:rPr>
                <w:b/>
                <w:bCs/>
              </w:rPr>
              <w:t>Judgment</w:t>
            </w:r>
            <w:proofErr w:type="spellEnd"/>
            <w:r w:rsidRPr="00AE36E2">
              <w:rPr>
                <w:b/>
                <w:bCs/>
              </w:rPr>
              <w:t xml:space="preserve">: </w:t>
            </w:r>
            <w:proofErr w:type="spellStart"/>
            <w:r w:rsidRPr="00AE36E2">
              <w:rPr>
                <w:b/>
                <w:bCs/>
              </w:rPr>
              <w:t>European</w:t>
            </w:r>
            <w:proofErr w:type="spellEnd"/>
            <w:r w:rsidRPr="00AE36E2">
              <w:rPr>
                <w:b/>
                <w:bCs/>
              </w:rPr>
              <w:t xml:space="preserve"> </w:t>
            </w:r>
            <w:proofErr w:type="spellStart"/>
            <w:r w:rsidRPr="00AE36E2">
              <w:rPr>
                <w:b/>
                <w:bCs/>
              </w:rPr>
              <w:t>Commission</w:t>
            </w:r>
            <w:proofErr w:type="spellEnd"/>
            <w:r w:rsidRPr="00AE36E2">
              <w:rPr>
                <w:b/>
                <w:bCs/>
              </w:rPr>
              <w:t xml:space="preserve"> v </w:t>
            </w:r>
            <w:proofErr w:type="spellStart"/>
            <w:r w:rsidRPr="00AE36E2">
              <w:rPr>
                <w:b/>
                <w:bCs/>
              </w:rPr>
              <w:t>Hungary</w:t>
            </w:r>
            <w:proofErr w:type="spellEnd"/>
          </w:p>
          <w:p w14:paraId="3F7D7A83" w14:textId="77777777" w:rsidR="00664DF4" w:rsidRDefault="00B86AAA" w:rsidP="00AE36E2">
            <w:pPr>
              <w:jc w:val="both"/>
              <w:rPr>
                <w:bCs/>
                <w:i/>
              </w:rPr>
            </w:pPr>
            <w:r w:rsidRPr="00130F17">
              <w:rPr>
                <w:bCs/>
                <w:i/>
              </w:rPr>
              <w:t xml:space="preserve">Key </w:t>
            </w:r>
            <w:proofErr w:type="spellStart"/>
            <w:r w:rsidRPr="00130F17">
              <w:rPr>
                <w:bCs/>
                <w:i/>
              </w:rPr>
              <w:t>words</w:t>
            </w:r>
            <w:proofErr w:type="spellEnd"/>
            <w:r w:rsidRPr="00130F17">
              <w:rPr>
                <w:bCs/>
                <w:i/>
              </w:rPr>
              <w:t>:</w:t>
            </w:r>
            <w:r>
              <w:rPr>
                <w:bCs/>
                <w:i/>
              </w:rPr>
              <w:t xml:space="preserve"> </w:t>
            </w:r>
            <w:proofErr w:type="spellStart"/>
            <w:r w:rsidR="00556E79" w:rsidRPr="00556E79">
              <w:rPr>
                <w:bCs/>
                <w:i/>
              </w:rPr>
              <w:t>Admissibility</w:t>
            </w:r>
            <w:proofErr w:type="spellEnd"/>
            <w:r w:rsidR="00556E79" w:rsidRPr="00556E79">
              <w:rPr>
                <w:bCs/>
                <w:i/>
              </w:rPr>
              <w:t xml:space="preserve"> – </w:t>
            </w:r>
            <w:proofErr w:type="spellStart"/>
            <w:r w:rsidR="00556E79" w:rsidRPr="00556E79">
              <w:rPr>
                <w:bCs/>
                <w:i/>
              </w:rPr>
              <w:t>Jurisdiction</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Court</w:t>
            </w:r>
            <w:proofErr w:type="spellEnd"/>
            <w:r w:rsidR="00556E79" w:rsidRPr="00556E79">
              <w:rPr>
                <w:bCs/>
                <w:i/>
              </w:rPr>
              <w:t xml:space="preserve"> – General </w:t>
            </w:r>
            <w:proofErr w:type="spellStart"/>
            <w:r w:rsidR="00556E79" w:rsidRPr="00556E79">
              <w:rPr>
                <w:bCs/>
                <w:i/>
              </w:rPr>
              <w:t>Agreement</w:t>
            </w:r>
            <w:proofErr w:type="spellEnd"/>
            <w:r w:rsidR="00556E79" w:rsidRPr="00556E79">
              <w:rPr>
                <w:bCs/>
                <w:i/>
              </w:rPr>
              <w:t xml:space="preserve"> </w:t>
            </w:r>
            <w:proofErr w:type="spellStart"/>
            <w:r w:rsidR="00556E79" w:rsidRPr="00556E79">
              <w:rPr>
                <w:bCs/>
                <w:i/>
              </w:rPr>
              <w:t>on</w:t>
            </w:r>
            <w:proofErr w:type="spellEnd"/>
            <w:r w:rsidR="00556E79" w:rsidRPr="00556E79">
              <w:rPr>
                <w:bCs/>
                <w:i/>
              </w:rPr>
              <w:t xml:space="preserve"> </w:t>
            </w:r>
            <w:proofErr w:type="spellStart"/>
            <w:r w:rsidR="00556E79" w:rsidRPr="00556E79">
              <w:rPr>
                <w:bCs/>
                <w:i/>
              </w:rPr>
              <w:t>Trade</w:t>
            </w:r>
            <w:proofErr w:type="spellEnd"/>
            <w:r w:rsidR="00556E79" w:rsidRPr="00556E79">
              <w:rPr>
                <w:bCs/>
                <w:i/>
              </w:rPr>
              <w:t xml:space="preserve"> in </w:t>
            </w:r>
            <w:proofErr w:type="spellStart"/>
            <w:r w:rsidR="00556E79" w:rsidRPr="00556E79">
              <w:rPr>
                <w:bCs/>
                <w:i/>
              </w:rPr>
              <w:t>Services</w:t>
            </w:r>
            <w:proofErr w:type="spellEnd"/>
            <w:r w:rsidR="00556E79" w:rsidRPr="00556E79">
              <w:rPr>
                <w:bCs/>
                <w:i/>
              </w:rPr>
              <w:t xml:space="preserve"> – </w:t>
            </w:r>
            <w:proofErr w:type="spellStart"/>
            <w:r w:rsidR="00556E79" w:rsidRPr="00556E79">
              <w:rPr>
                <w:bCs/>
                <w:i/>
              </w:rPr>
              <w:t>Article</w:t>
            </w:r>
            <w:proofErr w:type="spellEnd"/>
            <w:r w:rsidR="00556E79" w:rsidRPr="00556E79">
              <w:rPr>
                <w:bCs/>
                <w:i/>
              </w:rPr>
              <w:t xml:space="preserve"> XVI – </w:t>
            </w:r>
            <w:proofErr w:type="spellStart"/>
            <w:r w:rsidR="00556E79" w:rsidRPr="00556E79">
              <w:rPr>
                <w:bCs/>
                <w:i/>
              </w:rPr>
              <w:t>Market</w:t>
            </w:r>
            <w:proofErr w:type="spellEnd"/>
            <w:r w:rsidR="00556E79" w:rsidRPr="00556E79">
              <w:rPr>
                <w:bCs/>
                <w:i/>
              </w:rPr>
              <w:t xml:space="preserve"> </w:t>
            </w:r>
            <w:proofErr w:type="spellStart"/>
            <w:r w:rsidR="00556E79" w:rsidRPr="00556E79">
              <w:rPr>
                <w:bCs/>
                <w:i/>
              </w:rPr>
              <w:t>access</w:t>
            </w:r>
            <w:proofErr w:type="spellEnd"/>
            <w:r w:rsidR="00556E79" w:rsidRPr="00556E79">
              <w:rPr>
                <w:bCs/>
                <w:i/>
              </w:rPr>
              <w:t xml:space="preserve"> – Schedule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specific</w:t>
            </w:r>
            <w:proofErr w:type="spellEnd"/>
            <w:r w:rsidR="00556E79" w:rsidRPr="00556E79">
              <w:rPr>
                <w:bCs/>
                <w:i/>
              </w:rPr>
              <w:t xml:space="preserve"> </w:t>
            </w:r>
            <w:proofErr w:type="spellStart"/>
            <w:r w:rsidR="00556E79" w:rsidRPr="00556E79">
              <w:rPr>
                <w:bCs/>
                <w:i/>
              </w:rPr>
              <w:t>commitments</w:t>
            </w:r>
            <w:proofErr w:type="spellEnd"/>
            <w:r w:rsidR="00556E79" w:rsidRPr="00556E79">
              <w:rPr>
                <w:bCs/>
                <w:i/>
              </w:rPr>
              <w:t xml:space="preserve"> – </w:t>
            </w:r>
            <w:proofErr w:type="spellStart"/>
            <w:r w:rsidR="00556E79" w:rsidRPr="00556E79">
              <w:rPr>
                <w:bCs/>
                <w:i/>
              </w:rPr>
              <w:t>Requirement</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authorisation</w:t>
            </w:r>
            <w:proofErr w:type="spellEnd"/>
            <w:r w:rsidR="00556E79" w:rsidRPr="00556E79">
              <w:rPr>
                <w:bCs/>
                <w:i/>
              </w:rPr>
              <w:t xml:space="preserve"> – </w:t>
            </w:r>
            <w:proofErr w:type="spellStart"/>
            <w:r w:rsidR="00556E79" w:rsidRPr="00556E79">
              <w:rPr>
                <w:bCs/>
                <w:i/>
              </w:rPr>
              <w:t>Article</w:t>
            </w:r>
            <w:proofErr w:type="spellEnd"/>
            <w:r w:rsidR="00556E79" w:rsidRPr="00556E79">
              <w:rPr>
                <w:bCs/>
                <w:i/>
              </w:rPr>
              <w:t xml:space="preserve"> XX(2) – </w:t>
            </w:r>
            <w:proofErr w:type="spellStart"/>
            <w:r w:rsidR="00556E79" w:rsidRPr="00556E79">
              <w:rPr>
                <w:bCs/>
                <w:i/>
              </w:rPr>
              <w:t>Article</w:t>
            </w:r>
            <w:proofErr w:type="spellEnd"/>
            <w:r w:rsidR="00556E79" w:rsidRPr="00556E79">
              <w:rPr>
                <w:bCs/>
                <w:i/>
              </w:rPr>
              <w:t xml:space="preserve"> XVII – </w:t>
            </w:r>
            <w:proofErr w:type="spellStart"/>
            <w:r w:rsidR="00556E79" w:rsidRPr="00556E79">
              <w:rPr>
                <w:bCs/>
                <w:i/>
              </w:rPr>
              <w:t>National</w:t>
            </w:r>
            <w:proofErr w:type="spellEnd"/>
            <w:r w:rsidR="00556E79" w:rsidRPr="00556E79">
              <w:rPr>
                <w:bCs/>
                <w:i/>
              </w:rPr>
              <w:t xml:space="preserve"> </w:t>
            </w:r>
            <w:proofErr w:type="spellStart"/>
            <w:r w:rsidR="00556E79" w:rsidRPr="00556E79">
              <w:rPr>
                <w:bCs/>
                <w:i/>
              </w:rPr>
              <w:t>treatment</w:t>
            </w:r>
            <w:proofErr w:type="spellEnd"/>
            <w:r w:rsidR="00556E79" w:rsidRPr="00556E79">
              <w:rPr>
                <w:bCs/>
                <w:i/>
              </w:rPr>
              <w:t xml:space="preserve"> – </w:t>
            </w:r>
            <w:proofErr w:type="spellStart"/>
            <w:r w:rsidR="00556E79" w:rsidRPr="00556E79">
              <w:rPr>
                <w:bCs/>
                <w:i/>
              </w:rPr>
              <w:t>Service</w:t>
            </w:r>
            <w:proofErr w:type="spellEnd"/>
            <w:r w:rsidR="00556E79" w:rsidRPr="00556E79">
              <w:rPr>
                <w:bCs/>
                <w:i/>
              </w:rPr>
              <w:t xml:space="preserve"> </w:t>
            </w:r>
            <w:proofErr w:type="spellStart"/>
            <w:r w:rsidR="00556E79" w:rsidRPr="00556E79">
              <w:rPr>
                <w:bCs/>
                <w:i/>
              </w:rPr>
              <w:t>provider</w:t>
            </w:r>
            <w:proofErr w:type="spellEnd"/>
            <w:r w:rsidR="00556E79" w:rsidRPr="00556E79">
              <w:rPr>
                <w:bCs/>
                <w:i/>
              </w:rPr>
              <w:t xml:space="preserve"> </w:t>
            </w:r>
            <w:proofErr w:type="spellStart"/>
            <w:r w:rsidR="00556E79" w:rsidRPr="00556E79">
              <w:rPr>
                <w:bCs/>
                <w:i/>
              </w:rPr>
              <w:t>having</w:t>
            </w:r>
            <w:proofErr w:type="spellEnd"/>
            <w:r w:rsidR="00556E79" w:rsidRPr="00556E79">
              <w:rPr>
                <w:bCs/>
                <w:i/>
              </w:rPr>
              <w:t xml:space="preserve"> </w:t>
            </w:r>
            <w:proofErr w:type="spellStart"/>
            <w:r w:rsidR="00556E79" w:rsidRPr="00556E79">
              <w:rPr>
                <w:bCs/>
                <w:i/>
              </w:rPr>
              <w:t>its</w:t>
            </w:r>
            <w:proofErr w:type="spellEnd"/>
            <w:r w:rsidR="00556E79" w:rsidRPr="00556E79">
              <w:rPr>
                <w:bCs/>
                <w:i/>
              </w:rPr>
              <w:t xml:space="preserve"> </w:t>
            </w:r>
            <w:proofErr w:type="spellStart"/>
            <w:r w:rsidR="00556E79" w:rsidRPr="00556E79">
              <w:rPr>
                <w:bCs/>
                <w:i/>
              </w:rPr>
              <w:t>seat</w:t>
            </w:r>
            <w:proofErr w:type="spellEnd"/>
            <w:r w:rsidR="00556E79" w:rsidRPr="00556E79">
              <w:rPr>
                <w:bCs/>
                <w:i/>
              </w:rPr>
              <w:t xml:space="preserve"> in a </w:t>
            </w:r>
            <w:proofErr w:type="spellStart"/>
            <w:r w:rsidR="00556E79" w:rsidRPr="00556E79">
              <w:rPr>
                <w:bCs/>
                <w:i/>
              </w:rPr>
              <w:t>third</w:t>
            </w:r>
            <w:proofErr w:type="spellEnd"/>
            <w:r w:rsidR="00556E79" w:rsidRPr="00556E79">
              <w:rPr>
                <w:bCs/>
                <w:i/>
              </w:rPr>
              <w:t xml:space="preserve"> country – </w:t>
            </w:r>
            <w:proofErr w:type="spellStart"/>
            <w:r w:rsidR="00556E79" w:rsidRPr="00556E79">
              <w:rPr>
                <w:bCs/>
                <w:i/>
              </w:rPr>
              <w:t>National</w:t>
            </w:r>
            <w:proofErr w:type="spellEnd"/>
            <w:r w:rsidR="00556E79" w:rsidRPr="00556E79">
              <w:rPr>
                <w:bCs/>
                <w:i/>
              </w:rPr>
              <w:t xml:space="preserve"> </w:t>
            </w:r>
            <w:proofErr w:type="spellStart"/>
            <w:r w:rsidR="00556E79" w:rsidRPr="00556E79">
              <w:rPr>
                <w:bCs/>
                <w:i/>
              </w:rPr>
              <w:t>legislation</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a </w:t>
            </w:r>
            <w:proofErr w:type="spellStart"/>
            <w:r w:rsidR="00556E79" w:rsidRPr="00556E79">
              <w:rPr>
                <w:bCs/>
                <w:i/>
              </w:rPr>
              <w:t>Member</w:t>
            </w:r>
            <w:proofErr w:type="spellEnd"/>
            <w:r w:rsidR="00556E79" w:rsidRPr="00556E79">
              <w:rPr>
                <w:bCs/>
                <w:i/>
              </w:rPr>
              <w:t xml:space="preserve"> </w:t>
            </w:r>
            <w:proofErr w:type="spellStart"/>
            <w:r w:rsidR="00556E79" w:rsidRPr="00556E79">
              <w:rPr>
                <w:bCs/>
                <w:i/>
              </w:rPr>
              <w:t>State</w:t>
            </w:r>
            <w:proofErr w:type="spellEnd"/>
            <w:r w:rsidR="00556E79" w:rsidRPr="00556E79">
              <w:rPr>
                <w:bCs/>
                <w:i/>
              </w:rPr>
              <w:t xml:space="preserve"> </w:t>
            </w:r>
            <w:proofErr w:type="spellStart"/>
            <w:r w:rsidR="00556E79" w:rsidRPr="00556E79">
              <w:rPr>
                <w:bCs/>
                <w:i/>
              </w:rPr>
              <w:t>imposing</w:t>
            </w:r>
            <w:proofErr w:type="spellEnd"/>
            <w:r w:rsidR="00556E79" w:rsidRPr="00556E79">
              <w:rPr>
                <w:bCs/>
                <w:i/>
              </w:rPr>
              <w:t xml:space="preserve"> </w:t>
            </w:r>
            <w:proofErr w:type="spellStart"/>
            <w:r w:rsidR="00556E79" w:rsidRPr="00556E79">
              <w:rPr>
                <w:bCs/>
                <w:i/>
              </w:rPr>
              <w:t>conditions</w:t>
            </w:r>
            <w:proofErr w:type="spellEnd"/>
            <w:r w:rsidR="00556E79" w:rsidRPr="00556E79">
              <w:rPr>
                <w:bCs/>
                <w:i/>
              </w:rPr>
              <w:t xml:space="preserve"> </w:t>
            </w:r>
            <w:proofErr w:type="spellStart"/>
            <w:r w:rsidR="00556E79" w:rsidRPr="00556E79">
              <w:rPr>
                <w:bCs/>
                <w:i/>
              </w:rPr>
              <w:t>for</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supply</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higher</w:t>
            </w:r>
            <w:proofErr w:type="spellEnd"/>
            <w:r w:rsidR="00556E79" w:rsidRPr="00556E79">
              <w:rPr>
                <w:bCs/>
                <w:i/>
              </w:rPr>
              <w:t xml:space="preserve"> </w:t>
            </w:r>
            <w:proofErr w:type="spellStart"/>
            <w:r w:rsidR="00556E79" w:rsidRPr="00556E79">
              <w:rPr>
                <w:bCs/>
                <w:i/>
              </w:rPr>
              <w:t>education</w:t>
            </w:r>
            <w:proofErr w:type="spellEnd"/>
            <w:r w:rsidR="00556E79" w:rsidRPr="00556E79">
              <w:rPr>
                <w:bCs/>
                <w:i/>
              </w:rPr>
              <w:t xml:space="preserve"> </w:t>
            </w:r>
            <w:proofErr w:type="spellStart"/>
            <w:r w:rsidR="00556E79" w:rsidRPr="00556E79">
              <w:rPr>
                <w:bCs/>
                <w:i/>
              </w:rPr>
              <w:t>services</w:t>
            </w:r>
            <w:proofErr w:type="spellEnd"/>
            <w:r w:rsidR="00556E79" w:rsidRPr="00556E79">
              <w:rPr>
                <w:bCs/>
                <w:i/>
              </w:rPr>
              <w:t xml:space="preserve"> </w:t>
            </w:r>
            <w:proofErr w:type="spellStart"/>
            <w:r w:rsidR="00556E79" w:rsidRPr="00556E79">
              <w:rPr>
                <w:bCs/>
                <w:i/>
              </w:rPr>
              <w:t>within</w:t>
            </w:r>
            <w:proofErr w:type="spellEnd"/>
            <w:r w:rsidR="00556E79" w:rsidRPr="00556E79">
              <w:rPr>
                <w:bCs/>
                <w:i/>
              </w:rPr>
              <w:t xml:space="preserve"> </w:t>
            </w:r>
            <w:proofErr w:type="spellStart"/>
            <w:r w:rsidR="00556E79" w:rsidRPr="00556E79">
              <w:rPr>
                <w:bCs/>
                <w:i/>
              </w:rPr>
              <w:t>its</w:t>
            </w:r>
            <w:proofErr w:type="spellEnd"/>
            <w:r w:rsidR="00556E79" w:rsidRPr="00556E79">
              <w:rPr>
                <w:bCs/>
                <w:i/>
              </w:rPr>
              <w:t xml:space="preserve"> </w:t>
            </w:r>
            <w:proofErr w:type="spellStart"/>
            <w:r w:rsidR="00556E79" w:rsidRPr="00556E79">
              <w:rPr>
                <w:bCs/>
                <w:i/>
              </w:rPr>
              <w:t>territory</w:t>
            </w:r>
            <w:proofErr w:type="spellEnd"/>
            <w:r w:rsidR="00556E79" w:rsidRPr="00556E79">
              <w:rPr>
                <w:bCs/>
                <w:i/>
              </w:rPr>
              <w:t xml:space="preserve"> – </w:t>
            </w:r>
            <w:proofErr w:type="spellStart"/>
            <w:r w:rsidR="00556E79" w:rsidRPr="00556E79">
              <w:rPr>
                <w:bCs/>
                <w:i/>
              </w:rPr>
              <w:t>Requirement</w:t>
            </w:r>
            <w:proofErr w:type="spellEnd"/>
            <w:r w:rsidR="00556E79" w:rsidRPr="00556E79">
              <w:rPr>
                <w:bCs/>
                <w:i/>
              </w:rPr>
              <w:t xml:space="preserve"> </w:t>
            </w:r>
            <w:proofErr w:type="spellStart"/>
            <w:r w:rsidR="00556E79" w:rsidRPr="00556E79">
              <w:rPr>
                <w:bCs/>
                <w:i/>
              </w:rPr>
              <w:t>relating</w:t>
            </w:r>
            <w:proofErr w:type="spellEnd"/>
            <w:r w:rsidR="00556E79" w:rsidRPr="00556E79">
              <w:rPr>
                <w:bCs/>
                <w:i/>
              </w:rPr>
              <w:t xml:space="preserve"> </w:t>
            </w:r>
            <w:proofErr w:type="spellStart"/>
            <w:r w:rsidR="00556E79" w:rsidRPr="00556E79">
              <w:rPr>
                <w:bCs/>
                <w:i/>
              </w:rPr>
              <w:t>to</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conclusion</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an</w:t>
            </w:r>
            <w:proofErr w:type="spellEnd"/>
            <w:r w:rsidR="00556E79" w:rsidRPr="00556E79">
              <w:rPr>
                <w:bCs/>
                <w:i/>
              </w:rPr>
              <w:t xml:space="preserve"> </w:t>
            </w:r>
            <w:proofErr w:type="spellStart"/>
            <w:r w:rsidR="00556E79" w:rsidRPr="00556E79">
              <w:rPr>
                <w:bCs/>
                <w:i/>
              </w:rPr>
              <w:t>international</w:t>
            </w:r>
            <w:proofErr w:type="spellEnd"/>
            <w:r w:rsidR="00556E79" w:rsidRPr="00556E79">
              <w:rPr>
                <w:bCs/>
                <w:i/>
              </w:rPr>
              <w:t xml:space="preserve"> </w:t>
            </w:r>
            <w:proofErr w:type="spellStart"/>
            <w:r w:rsidR="00556E79" w:rsidRPr="00556E79">
              <w:rPr>
                <w:bCs/>
                <w:i/>
              </w:rPr>
              <w:t>treaty</w:t>
            </w:r>
            <w:proofErr w:type="spellEnd"/>
            <w:r w:rsidR="00556E79" w:rsidRPr="00556E79">
              <w:rPr>
                <w:bCs/>
                <w:i/>
              </w:rPr>
              <w:t xml:space="preserve"> </w:t>
            </w:r>
            <w:proofErr w:type="spellStart"/>
            <w:r w:rsidR="00556E79" w:rsidRPr="00556E79">
              <w:rPr>
                <w:bCs/>
                <w:i/>
              </w:rPr>
              <w:t>with</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State</w:t>
            </w:r>
            <w:proofErr w:type="spellEnd"/>
            <w:r w:rsidR="00556E79" w:rsidRPr="00556E79">
              <w:rPr>
                <w:bCs/>
                <w:i/>
              </w:rPr>
              <w:t xml:space="preserve"> in </w:t>
            </w:r>
            <w:proofErr w:type="spellStart"/>
            <w:r w:rsidR="00556E79" w:rsidRPr="00556E79">
              <w:rPr>
                <w:bCs/>
                <w:i/>
              </w:rPr>
              <w:t>which</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provider</w:t>
            </w:r>
            <w:proofErr w:type="spellEnd"/>
            <w:r w:rsidR="00556E79" w:rsidRPr="00556E79">
              <w:rPr>
                <w:bCs/>
                <w:i/>
              </w:rPr>
              <w:t xml:space="preserve"> has </w:t>
            </w:r>
            <w:proofErr w:type="spellStart"/>
            <w:r w:rsidR="00556E79" w:rsidRPr="00556E79">
              <w:rPr>
                <w:bCs/>
                <w:i/>
              </w:rPr>
              <w:t>its</w:t>
            </w:r>
            <w:proofErr w:type="spellEnd"/>
            <w:r w:rsidR="00556E79" w:rsidRPr="00556E79">
              <w:rPr>
                <w:bCs/>
                <w:i/>
              </w:rPr>
              <w:t xml:space="preserve"> </w:t>
            </w:r>
            <w:proofErr w:type="spellStart"/>
            <w:r w:rsidR="00556E79" w:rsidRPr="00556E79">
              <w:rPr>
                <w:bCs/>
                <w:i/>
              </w:rPr>
              <w:t>seat</w:t>
            </w:r>
            <w:proofErr w:type="spellEnd"/>
            <w:r w:rsidR="00556E79" w:rsidRPr="00556E79">
              <w:rPr>
                <w:bCs/>
                <w:i/>
              </w:rPr>
              <w:t xml:space="preserve"> – </w:t>
            </w:r>
            <w:proofErr w:type="spellStart"/>
            <w:r w:rsidR="00556E79" w:rsidRPr="00556E79">
              <w:rPr>
                <w:bCs/>
                <w:i/>
              </w:rPr>
              <w:t>Requirement</w:t>
            </w:r>
            <w:proofErr w:type="spellEnd"/>
            <w:r w:rsidR="00556E79" w:rsidRPr="00556E79">
              <w:rPr>
                <w:bCs/>
                <w:i/>
              </w:rPr>
              <w:t xml:space="preserve"> </w:t>
            </w:r>
            <w:proofErr w:type="spellStart"/>
            <w:r w:rsidR="00556E79" w:rsidRPr="00556E79">
              <w:rPr>
                <w:bCs/>
                <w:i/>
              </w:rPr>
              <w:t>relating</w:t>
            </w:r>
            <w:proofErr w:type="spellEnd"/>
            <w:r w:rsidR="00556E79" w:rsidRPr="00556E79">
              <w:rPr>
                <w:bCs/>
                <w:i/>
              </w:rPr>
              <w:t xml:space="preserve"> </w:t>
            </w:r>
            <w:proofErr w:type="spellStart"/>
            <w:r w:rsidR="00556E79" w:rsidRPr="00556E79">
              <w:rPr>
                <w:bCs/>
                <w:i/>
              </w:rPr>
              <w:t>to</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provision</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education</w:t>
            </w:r>
            <w:proofErr w:type="spellEnd"/>
            <w:r w:rsidR="00556E79" w:rsidRPr="00556E79">
              <w:rPr>
                <w:bCs/>
                <w:i/>
              </w:rPr>
              <w:t xml:space="preserve"> in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State</w:t>
            </w:r>
            <w:proofErr w:type="spellEnd"/>
            <w:r w:rsidR="00556E79" w:rsidRPr="00556E79">
              <w:rPr>
                <w:bCs/>
                <w:i/>
              </w:rPr>
              <w:t xml:space="preserve"> in </w:t>
            </w:r>
            <w:proofErr w:type="spellStart"/>
            <w:r w:rsidR="00556E79" w:rsidRPr="00556E79">
              <w:rPr>
                <w:bCs/>
                <w:i/>
              </w:rPr>
              <w:t>which</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provider</w:t>
            </w:r>
            <w:proofErr w:type="spellEnd"/>
            <w:r w:rsidR="00556E79" w:rsidRPr="00556E79">
              <w:rPr>
                <w:bCs/>
                <w:i/>
              </w:rPr>
              <w:t xml:space="preserve"> has </w:t>
            </w:r>
            <w:proofErr w:type="spellStart"/>
            <w:r w:rsidR="00556E79" w:rsidRPr="00556E79">
              <w:rPr>
                <w:bCs/>
                <w:i/>
              </w:rPr>
              <w:t>its</w:t>
            </w:r>
            <w:proofErr w:type="spellEnd"/>
            <w:r w:rsidR="00556E79" w:rsidRPr="00556E79">
              <w:rPr>
                <w:bCs/>
                <w:i/>
              </w:rPr>
              <w:t xml:space="preserve"> </w:t>
            </w:r>
            <w:proofErr w:type="spellStart"/>
            <w:r w:rsidR="00556E79" w:rsidRPr="00556E79">
              <w:rPr>
                <w:bCs/>
                <w:i/>
              </w:rPr>
              <w:t>seat</w:t>
            </w:r>
            <w:proofErr w:type="spellEnd"/>
            <w:r w:rsidR="00556E79" w:rsidRPr="00556E79">
              <w:rPr>
                <w:bCs/>
                <w:i/>
              </w:rPr>
              <w:t xml:space="preserve"> – </w:t>
            </w:r>
            <w:proofErr w:type="spellStart"/>
            <w:r w:rsidR="00556E79" w:rsidRPr="00556E79">
              <w:rPr>
                <w:bCs/>
                <w:i/>
              </w:rPr>
              <w:t>Modification</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conditions</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competition</w:t>
            </w:r>
            <w:proofErr w:type="spellEnd"/>
            <w:r w:rsidR="00556E79" w:rsidRPr="00556E79">
              <w:rPr>
                <w:bCs/>
                <w:i/>
              </w:rPr>
              <w:t xml:space="preserve"> </w:t>
            </w:r>
            <w:proofErr w:type="spellStart"/>
            <w:r w:rsidR="00556E79" w:rsidRPr="00556E79">
              <w:rPr>
                <w:bCs/>
                <w:i/>
              </w:rPr>
              <w:t>to</w:t>
            </w:r>
            <w:proofErr w:type="spellEnd"/>
            <w:r w:rsidR="00556E79" w:rsidRPr="00556E79">
              <w:rPr>
                <w:bCs/>
                <w:i/>
              </w:rPr>
              <w:t xml:space="preserve"> </w:t>
            </w:r>
            <w:proofErr w:type="spellStart"/>
            <w:r w:rsidR="00556E79" w:rsidRPr="00556E79">
              <w:rPr>
                <w:bCs/>
                <w:i/>
              </w:rPr>
              <w:t>the</w:t>
            </w:r>
            <w:proofErr w:type="spellEnd"/>
            <w:r w:rsidR="00556E79" w:rsidRPr="00556E79">
              <w:rPr>
                <w:bCs/>
                <w:i/>
              </w:rPr>
              <w:t xml:space="preserve"> </w:t>
            </w:r>
            <w:proofErr w:type="spellStart"/>
            <w:r w:rsidR="00556E79" w:rsidRPr="00556E79">
              <w:rPr>
                <w:bCs/>
                <w:i/>
              </w:rPr>
              <w:t>benefit</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national</w:t>
            </w:r>
            <w:proofErr w:type="spellEnd"/>
            <w:r w:rsidR="00556E79" w:rsidRPr="00556E79">
              <w:rPr>
                <w:bCs/>
                <w:i/>
              </w:rPr>
              <w:t xml:space="preserve"> </w:t>
            </w:r>
            <w:proofErr w:type="spellStart"/>
            <w:r w:rsidR="00556E79" w:rsidRPr="00556E79">
              <w:rPr>
                <w:bCs/>
                <w:i/>
              </w:rPr>
              <w:t>providers</w:t>
            </w:r>
            <w:proofErr w:type="spellEnd"/>
            <w:r w:rsidR="00556E79" w:rsidRPr="00556E79">
              <w:rPr>
                <w:bCs/>
                <w:i/>
              </w:rPr>
              <w:t xml:space="preserve"> – </w:t>
            </w:r>
            <w:proofErr w:type="spellStart"/>
            <w:r w:rsidR="00556E79" w:rsidRPr="00556E79">
              <w:rPr>
                <w:bCs/>
                <w:i/>
              </w:rPr>
              <w:t>Justification</w:t>
            </w:r>
            <w:proofErr w:type="spellEnd"/>
            <w:r w:rsidR="00556E79" w:rsidRPr="00556E79">
              <w:rPr>
                <w:bCs/>
                <w:i/>
              </w:rPr>
              <w:t xml:space="preserve"> – </w:t>
            </w:r>
            <w:proofErr w:type="spellStart"/>
            <w:r w:rsidR="00556E79" w:rsidRPr="00556E79">
              <w:rPr>
                <w:bCs/>
                <w:i/>
              </w:rPr>
              <w:t>Public</w:t>
            </w:r>
            <w:proofErr w:type="spellEnd"/>
            <w:r w:rsidR="00556E79" w:rsidRPr="00556E79">
              <w:rPr>
                <w:bCs/>
                <w:i/>
              </w:rPr>
              <w:t xml:space="preserve"> </w:t>
            </w:r>
            <w:proofErr w:type="spellStart"/>
            <w:r w:rsidR="00556E79" w:rsidRPr="00556E79">
              <w:rPr>
                <w:bCs/>
                <w:i/>
              </w:rPr>
              <w:t>order</w:t>
            </w:r>
            <w:proofErr w:type="spellEnd"/>
            <w:r w:rsidR="00556E79" w:rsidRPr="00556E79">
              <w:rPr>
                <w:bCs/>
                <w:i/>
              </w:rPr>
              <w:t xml:space="preserve"> – </w:t>
            </w:r>
            <w:proofErr w:type="spellStart"/>
            <w:r w:rsidR="00556E79" w:rsidRPr="00556E79">
              <w:rPr>
                <w:bCs/>
                <w:i/>
              </w:rPr>
              <w:t>Prevention</w:t>
            </w:r>
            <w:proofErr w:type="spellEnd"/>
            <w:r w:rsidR="00556E79" w:rsidRPr="00556E79">
              <w:rPr>
                <w:bCs/>
                <w:i/>
              </w:rPr>
              <w:t xml:space="preserve"> </w:t>
            </w:r>
            <w:proofErr w:type="spellStart"/>
            <w:r w:rsidR="00556E79" w:rsidRPr="00556E79">
              <w:rPr>
                <w:bCs/>
                <w:i/>
              </w:rPr>
              <w:t>of</w:t>
            </w:r>
            <w:proofErr w:type="spellEnd"/>
            <w:r w:rsidR="00556E79" w:rsidRPr="00556E79">
              <w:rPr>
                <w:bCs/>
                <w:i/>
              </w:rPr>
              <w:t xml:space="preserve"> </w:t>
            </w:r>
            <w:proofErr w:type="spellStart"/>
            <w:r w:rsidR="00556E79" w:rsidRPr="00556E79">
              <w:rPr>
                <w:bCs/>
                <w:i/>
              </w:rPr>
              <w:t>deceptive</w:t>
            </w:r>
            <w:proofErr w:type="spellEnd"/>
            <w:r w:rsidR="00556E79" w:rsidRPr="00556E79">
              <w:rPr>
                <w:bCs/>
                <w:i/>
              </w:rPr>
              <w:t xml:space="preserve"> </w:t>
            </w:r>
            <w:proofErr w:type="spellStart"/>
            <w:r w:rsidR="00556E79" w:rsidRPr="00556E79">
              <w:rPr>
                <w:bCs/>
                <w:i/>
              </w:rPr>
              <w:t>practices</w:t>
            </w:r>
            <w:proofErr w:type="spellEnd"/>
          </w:p>
          <w:p w14:paraId="4BD1D49F" w14:textId="77777777" w:rsidR="00664DF4" w:rsidRDefault="00664DF4" w:rsidP="00AE36E2">
            <w:pPr>
              <w:jc w:val="both"/>
              <w:rPr>
                <w:bCs/>
                <w:i/>
              </w:rPr>
            </w:pPr>
          </w:p>
          <w:p w14:paraId="4BD6BA38" w14:textId="77777777" w:rsidR="0062393D" w:rsidRDefault="0062393D" w:rsidP="00AE36E2">
            <w:pPr>
              <w:jc w:val="both"/>
              <w:rPr>
                <w:bCs/>
                <w:i/>
              </w:rPr>
            </w:pPr>
          </w:p>
          <w:p w14:paraId="07B2C3C0" w14:textId="77777777" w:rsidR="0062393D" w:rsidRPr="00AE36E2" w:rsidRDefault="003D0AD2" w:rsidP="00AE36E2">
            <w:pPr>
              <w:jc w:val="both"/>
              <w:rPr>
                <w:b/>
                <w:iCs/>
                <w:lang w:val="de-DE"/>
              </w:rPr>
            </w:pPr>
            <w:r w:rsidRPr="00AE36E2">
              <w:rPr>
                <w:b/>
                <w:iCs/>
                <w:lang w:val="de-DE"/>
              </w:rPr>
              <w:t>CJEU Case C-830/18: Landkreis Südliche Weinstraße v PF and Others</w:t>
            </w:r>
          </w:p>
          <w:p w14:paraId="21550AEE" w14:textId="77777777" w:rsidR="003D0AD2" w:rsidRPr="003D0AD2" w:rsidRDefault="0062393D" w:rsidP="00AE36E2">
            <w:pPr>
              <w:jc w:val="both"/>
              <w:rPr>
                <w:i/>
                <w:iCs/>
                <w:lang w:val="en-US"/>
              </w:rPr>
            </w:pPr>
            <w:r w:rsidRPr="0062393D">
              <w:rPr>
                <w:i/>
                <w:iCs/>
                <w:lang w:val="en-US"/>
              </w:rPr>
              <w:t>Key words:</w:t>
            </w:r>
            <w:r>
              <w:rPr>
                <w:i/>
                <w:iCs/>
                <w:lang w:val="en-US"/>
              </w:rPr>
              <w:t xml:space="preserve"> </w:t>
            </w:r>
            <w:r w:rsidR="003D0AD2" w:rsidRPr="003D0AD2">
              <w:rPr>
                <w:i/>
                <w:iCs/>
                <w:lang w:val="en-US"/>
              </w:rPr>
              <w:t>Freedom of movement for workers — Regulation (EU) No 492/2011 — Children of frontier workers — Social advantages — System for reimbursement of school transport costs — Requirement of residence in a Land — Exclusion of children attending school in that Land and residing in a Member State other than that of the school attended — Exclusion of nat</w:t>
            </w:r>
            <w:r w:rsidR="003D0AD2">
              <w:rPr>
                <w:i/>
                <w:iCs/>
                <w:lang w:val="en-US"/>
              </w:rPr>
              <w:t>ionals residing in other Länder</w:t>
            </w:r>
          </w:p>
          <w:p w14:paraId="569102EF" w14:textId="77777777" w:rsidR="0062393D" w:rsidRDefault="0062393D" w:rsidP="00AE36E2">
            <w:pPr>
              <w:jc w:val="both"/>
              <w:rPr>
                <w:b/>
                <w:iCs/>
                <w:lang w:val="en-US"/>
              </w:rPr>
            </w:pPr>
          </w:p>
          <w:p w14:paraId="142A66B0" w14:textId="77777777" w:rsidR="0062393D" w:rsidRPr="00AE36E2" w:rsidRDefault="003D0AD2" w:rsidP="00AE36E2">
            <w:pPr>
              <w:jc w:val="both"/>
              <w:rPr>
                <w:b/>
                <w:iCs/>
                <w:lang w:val="de-DE"/>
              </w:rPr>
            </w:pPr>
            <w:r w:rsidRPr="00AE36E2">
              <w:rPr>
                <w:b/>
                <w:iCs/>
                <w:lang w:val="de-DE"/>
              </w:rPr>
              <w:t>CJEU Case C-161/17: Land Nordrhein-Westfalen v Dirk Renckhoff</w:t>
            </w:r>
          </w:p>
          <w:p w14:paraId="05B24367" w14:textId="77777777" w:rsidR="0062393D" w:rsidRDefault="0062393D" w:rsidP="00AE36E2">
            <w:pPr>
              <w:jc w:val="both"/>
              <w:rPr>
                <w:i/>
                <w:iCs/>
                <w:lang w:val="en-US"/>
              </w:rPr>
            </w:pPr>
            <w:r w:rsidRPr="0062393D">
              <w:rPr>
                <w:i/>
                <w:iCs/>
                <w:lang w:val="en-US"/>
              </w:rPr>
              <w:t xml:space="preserve">Key words: </w:t>
            </w:r>
            <w:r w:rsidR="003D0AD2" w:rsidRPr="003D0AD2">
              <w:rPr>
                <w:i/>
                <w:iCs/>
                <w:lang w:val="en-US"/>
              </w:rPr>
              <w:t xml:space="preserve">Information society — </w:t>
            </w:r>
            <w:proofErr w:type="spellStart"/>
            <w:r w:rsidR="003D0AD2" w:rsidRPr="003D0AD2">
              <w:rPr>
                <w:i/>
                <w:iCs/>
                <w:lang w:val="en-US"/>
              </w:rPr>
              <w:t>Harmonisation</w:t>
            </w:r>
            <w:proofErr w:type="spellEnd"/>
            <w:r w:rsidR="003D0AD2" w:rsidRPr="003D0AD2">
              <w:rPr>
                <w:i/>
                <w:iCs/>
                <w:lang w:val="en-US"/>
              </w:rPr>
              <w:t xml:space="preserve"> of certain aspects of copyright and related rights — Article 3(</w:t>
            </w:r>
            <w:proofErr w:type="gramStart"/>
            <w:r w:rsidR="003D0AD2" w:rsidRPr="003D0AD2">
              <w:rPr>
                <w:i/>
                <w:iCs/>
                <w:lang w:val="en-US"/>
              </w:rPr>
              <w:t>1) —</w:t>
            </w:r>
            <w:proofErr w:type="gramEnd"/>
            <w:r w:rsidR="003D0AD2" w:rsidRPr="003D0AD2">
              <w:rPr>
                <w:i/>
                <w:iCs/>
                <w:lang w:val="en-US"/>
              </w:rPr>
              <w:t xml:space="preserve"> Communication to the public — Concept — Publication online, without the consent of the </w:t>
            </w:r>
            <w:proofErr w:type="spellStart"/>
            <w:r w:rsidR="003D0AD2" w:rsidRPr="003D0AD2">
              <w:rPr>
                <w:i/>
                <w:iCs/>
                <w:lang w:val="en-US"/>
              </w:rPr>
              <w:t>rightholder</w:t>
            </w:r>
            <w:proofErr w:type="spellEnd"/>
            <w:r w:rsidR="003D0AD2" w:rsidRPr="003D0AD2">
              <w:rPr>
                <w:i/>
                <w:iCs/>
                <w:lang w:val="en-US"/>
              </w:rPr>
              <w:t xml:space="preserve">, of a photograph previously published on another website without any restrictions and with the consent of the </w:t>
            </w:r>
            <w:proofErr w:type="spellStart"/>
            <w:r w:rsidR="003D0AD2" w:rsidRPr="003D0AD2">
              <w:rPr>
                <w:i/>
                <w:iCs/>
                <w:lang w:val="en-US"/>
              </w:rPr>
              <w:t>rightholder</w:t>
            </w:r>
            <w:proofErr w:type="spellEnd"/>
            <w:r w:rsidR="003D0AD2" w:rsidRPr="003D0AD2">
              <w:rPr>
                <w:i/>
                <w:iCs/>
                <w:lang w:val="en-US"/>
              </w:rPr>
              <w:t xml:space="preserve"> — N</w:t>
            </w:r>
            <w:r w:rsidR="003D0AD2">
              <w:rPr>
                <w:i/>
                <w:iCs/>
                <w:lang w:val="en-US"/>
              </w:rPr>
              <w:t>ew public</w:t>
            </w:r>
          </w:p>
          <w:p w14:paraId="22D07866" w14:textId="77777777" w:rsidR="00556E79" w:rsidRDefault="00556E79" w:rsidP="00AE36E2">
            <w:pPr>
              <w:jc w:val="both"/>
              <w:rPr>
                <w:b/>
                <w:iCs/>
                <w:lang w:val="en-US"/>
              </w:rPr>
            </w:pPr>
          </w:p>
          <w:p w14:paraId="32A79A73" w14:textId="77777777" w:rsidR="0062393D" w:rsidRPr="00AE36E2" w:rsidRDefault="0062393D" w:rsidP="00AE36E2">
            <w:pPr>
              <w:jc w:val="both"/>
              <w:rPr>
                <w:b/>
                <w:iCs/>
                <w:lang w:val="en-US"/>
              </w:rPr>
            </w:pPr>
            <w:r w:rsidRPr="00AE36E2">
              <w:rPr>
                <w:b/>
                <w:iCs/>
                <w:lang w:val="en-US"/>
              </w:rPr>
              <w:t xml:space="preserve">CJEU </w:t>
            </w:r>
            <w:proofErr w:type="spellStart"/>
            <w:r w:rsidR="003D0AD2" w:rsidRPr="00AE36E2">
              <w:rPr>
                <w:b/>
                <w:iCs/>
                <w:lang w:val="en-US"/>
              </w:rPr>
              <w:t>CJEU</w:t>
            </w:r>
            <w:proofErr w:type="spellEnd"/>
            <w:r w:rsidR="003D0AD2" w:rsidRPr="00AE36E2">
              <w:rPr>
                <w:b/>
                <w:iCs/>
                <w:lang w:val="en-US"/>
              </w:rPr>
              <w:t xml:space="preserve"> Case C-161/17: Opinion Land Nordrhein-Westfalen v Dirk </w:t>
            </w:r>
            <w:proofErr w:type="spellStart"/>
            <w:r w:rsidR="003D0AD2" w:rsidRPr="00AE36E2">
              <w:rPr>
                <w:b/>
                <w:iCs/>
                <w:lang w:val="en-US"/>
              </w:rPr>
              <w:t>Renckhoff</w:t>
            </w:r>
            <w:proofErr w:type="spellEnd"/>
          </w:p>
          <w:p w14:paraId="55434104" w14:textId="77777777" w:rsidR="0062393D" w:rsidRDefault="0062393D" w:rsidP="00AE36E2">
            <w:pPr>
              <w:jc w:val="both"/>
              <w:rPr>
                <w:i/>
                <w:iCs/>
                <w:lang w:val="en-US"/>
              </w:rPr>
            </w:pPr>
            <w:r w:rsidRPr="0062393D">
              <w:rPr>
                <w:i/>
                <w:iCs/>
                <w:lang w:val="en-US"/>
              </w:rPr>
              <w:t>Key words:</w:t>
            </w:r>
            <w:r>
              <w:rPr>
                <w:i/>
                <w:iCs/>
                <w:lang w:val="en-US"/>
              </w:rPr>
              <w:t xml:space="preserve"> </w:t>
            </w:r>
            <w:r w:rsidR="003D0AD2" w:rsidRPr="003D0AD2">
              <w:rPr>
                <w:i/>
                <w:iCs/>
                <w:lang w:val="en-US"/>
              </w:rPr>
              <w:t>Copyright and related rights in the information society — Concept of communication to the public — Making available to the public on an internet portal of a protected work available to all internet users on another internet portal — Situation in which the work has been copied onto a server without the consent of the copyright holder.</w:t>
            </w:r>
          </w:p>
          <w:p w14:paraId="4CEE55BA" w14:textId="77777777" w:rsidR="00556E79" w:rsidRPr="0062393D" w:rsidRDefault="00556E79" w:rsidP="00AE36E2">
            <w:pPr>
              <w:jc w:val="both"/>
              <w:rPr>
                <w:b/>
                <w:iCs/>
                <w:lang w:val="en-US"/>
              </w:rPr>
            </w:pPr>
          </w:p>
        </w:tc>
      </w:tr>
      <w:tr w:rsidR="00664DF4" w:rsidRPr="00470C01" w14:paraId="0ACEB4CB" w14:textId="77777777" w:rsidTr="008D2374">
        <w:tc>
          <w:tcPr>
            <w:tcW w:w="8926" w:type="dxa"/>
          </w:tcPr>
          <w:p w14:paraId="4EB4D7FC" w14:textId="77777777" w:rsidR="00664DF4" w:rsidRPr="00AE36E2" w:rsidRDefault="00664DF4" w:rsidP="00CD2B58">
            <w:pPr>
              <w:rPr>
                <w:rFonts w:ascii="Calibri" w:hAnsi="Calibri" w:cs="Calibri"/>
                <w:b/>
                <w:bCs/>
                <w:sz w:val="28"/>
                <w:szCs w:val="28"/>
                <w:lang w:val="en-US"/>
              </w:rPr>
            </w:pPr>
            <w:r w:rsidRPr="00AE36E2">
              <w:rPr>
                <w:rFonts w:ascii="Calibri" w:hAnsi="Calibri" w:cs="Calibri"/>
                <w:b/>
                <w:bCs/>
                <w:color w:val="0070C0"/>
                <w:sz w:val="28"/>
                <w:szCs w:val="28"/>
                <w:lang w:val="en-US"/>
              </w:rPr>
              <w:lastRenderedPageBreak/>
              <w:t>Highlights</w:t>
            </w:r>
          </w:p>
        </w:tc>
      </w:tr>
      <w:tr w:rsidR="00664DF4" w:rsidRPr="00470C01" w14:paraId="3A889F9E" w14:textId="77777777" w:rsidTr="008D2374">
        <w:tc>
          <w:tcPr>
            <w:tcW w:w="8926" w:type="dxa"/>
          </w:tcPr>
          <w:p w14:paraId="02AB7D4F" w14:textId="77777777" w:rsidR="001E08D4" w:rsidRDefault="001E08D4" w:rsidP="008E42EE">
            <w:pPr>
              <w:jc w:val="both"/>
              <w:rPr>
                <w:rFonts w:asciiTheme="majorHAnsi" w:hAnsiTheme="majorHAnsi" w:cstheme="majorHAnsi"/>
                <w:iCs/>
                <w:lang w:val="en-GB"/>
              </w:rPr>
            </w:pPr>
          </w:p>
          <w:p w14:paraId="21FDF2D0" w14:textId="1DFCB4A9" w:rsidR="008E42EE" w:rsidRDefault="008E42EE" w:rsidP="008E42EE">
            <w:pPr>
              <w:jc w:val="both"/>
              <w:rPr>
                <w:rFonts w:asciiTheme="majorHAnsi" w:hAnsiTheme="majorHAnsi" w:cstheme="majorHAnsi"/>
                <w:iCs/>
                <w:lang w:val="en-GB"/>
              </w:rPr>
            </w:pPr>
            <w:r w:rsidRPr="008E42EE">
              <w:rPr>
                <w:rFonts w:asciiTheme="majorHAnsi" w:hAnsiTheme="majorHAnsi" w:cstheme="majorHAnsi"/>
                <w:iCs/>
                <w:lang w:val="en-GB"/>
              </w:rPr>
              <w:t>The right to education is fundamental for personal development, professional opportunities, and social inclusion. Denying access to education creates cascading effects, restricting access to employment, social security, and political participation. This highlights the interdependence of economic, social, and political rights.</w:t>
            </w:r>
          </w:p>
          <w:p w14:paraId="3EDFA05E" w14:textId="77777777" w:rsidR="008E42EE" w:rsidRPr="008E42EE" w:rsidRDefault="008E42EE" w:rsidP="008E42EE">
            <w:pPr>
              <w:jc w:val="both"/>
              <w:rPr>
                <w:rFonts w:asciiTheme="majorHAnsi" w:hAnsiTheme="majorHAnsi" w:cstheme="majorHAnsi"/>
                <w:iCs/>
                <w:lang w:val="en-GB"/>
              </w:rPr>
            </w:pPr>
          </w:p>
          <w:p w14:paraId="0B5CDA13" w14:textId="77777777" w:rsidR="001E08D4" w:rsidRDefault="001E08D4" w:rsidP="008E42EE">
            <w:pPr>
              <w:jc w:val="both"/>
              <w:rPr>
                <w:rFonts w:asciiTheme="majorHAnsi" w:hAnsiTheme="majorHAnsi" w:cstheme="majorHAnsi"/>
                <w:b/>
                <w:bCs/>
                <w:iCs/>
                <w:lang w:val="en-GB"/>
              </w:rPr>
            </w:pPr>
          </w:p>
          <w:p w14:paraId="5BA758D7" w14:textId="77777777" w:rsidR="001E08D4" w:rsidRDefault="001E08D4" w:rsidP="008E42EE">
            <w:pPr>
              <w:jc w:val="both"/>
              <w:rPr>
                <w:rFonts w:asciiTheme="majorHAnsi" w:hAnsiTheme="majorHAnsi" w:cstheme="majorHAnsi"/>
                <w:b/>
                <w:bCs/>
                <w:iCs/>
                <w:lang w:val="en-GB"/>
              </w:rPr>
            </w:pPr>
          </w:p>
          <w:p w14:paraId="594BF237" w14:textId="77777777" w:rsidR="001E08D4" w:rsidRDefault="001E08D4" w:rsidP="008E42EE">
            <w:pPr>
              <w:jc w:val="both"/>
              <w:rPr>
                <w:rFonts w:asciiTheme="majorHAnsi" w:hAnsiTheme="majorHAnsi" w:cstheme="majorHAnsi"/>
                <w:b/>
                <w:bCs/>
                <w:iCs/>
                <w:lang w:val="en-GB"/>
              </w:rPr>
            </w:pPr>
          </w:p>
          <w:p w14:paraId="37D78E4A" w14:textId="3E0823A3" w:rsidR="008E42EE" w:rsidRPr="008E42EE" w:rsidRDefault="008E42EE" w:rsidP="008E42EE">
            <w:pPr>
              <w:jc w:val="both"/>
              <w:rPr>
                <w:rFonts w:asciiTheme="majorHAnsi" w:hAnsiTheme="majorHAnsi" w:cstheme="majorHAnsi"/>
                <w:iCs/>
                <w:lang w:val="en-GB"/>
              </w:rPr>
            </w:pPr>
            <w:r w:rsidRPr="008E42EE">
              <w:rPr>
                <w:rFonts w:asciiTheme="majorHAnsi" w:hAnsiTheme="majorHAnsi" w:cstheme="majorHAnsi"/>
                <w:b/>
                <w:bCs/>
                <w:iCs/>
                <w:lang w:val="en-GB"/>
              </w:rPr>
              <w:lastRenderedPageBreak/>
              <w:t>Invoking the Charter in Education Cases</w:t>
            </w:r>
            <w:r w:rsidRPr="008E42EE">
              <w:rPr>
                <w:rFonts w:asciiTheme="majorHAnsi" w:hAnsiTheme="majorHAnsi" w:cstheme="majorHAnsi"/>
                <w:iCs/>
                <w:lang w:val="en-GB"/>
              </w:rPr>
              <w:t>:</w:t>
            </w:r>
          </w:p>
          <w:p w14:paraId="637A6CF2" w14:textId="77777777" w:rsidR="008E42EE" w:rsidRPr="008E42EE" w:rsidRDefault="008E42EE" w:rsidP="008E42EE">
            <w:pPr>
              <w:numPr>
                <w:ilvl w:val="1"/>
                <w:numId w:val="10"/>
              </w:numPr>
              <w:jc w:val="both"/>
              <w:rPr>
                <w:rFonts w:asciiTheme="majorHAnsi" w:hAnsiTheme="majorHAnsi" w:cstheme="majorHAnsi"/>
                <w:iCs/>
                <w:lang w:val="en-GB"/>
              </w:rPr>
            </w:pPr>
            <w:r w:rsidRPr="008E42EE">
              <w:rPr>
                <w:rFonts w:asciiTheme="majorHAnsi" w:hAnsiTheme="majorHAnsi" w:cstheme="majorHAnsi"/>
                <w:iCs/>
                <w:lang w:val="en-GB"/>
              </w:rPr>
              <w:t xml:space="preserve">Article 14 </w:t>
            </w:r>
            <w:proofErr w:type="spellStart"/>
            <w:r w:rsidRPr="008E42EE">
              <w:rPr>
                <w:rFonts w:asciiTheme="majorHAnsi" w:hAnsiTheme="majorHAnsi" w:cstheme="majorHAnsi"/>
                <w:iCs/>
                <w:lang w:val="en-GB"/>
              </w:rPr>
              <w:t>EChFR</w:t>
            </w:r>
            <w:proofErr w:type="spellEnd"/>
            <w:r w:rsidRPr="008E42EE">
              <w:rPr>
                <w:rFonts w:asciiTheme="majorHAnsi" w:hAnsiTheme="majorHAnsi" w:cstheme="majorHAnsi"/>
                <w:iCs/>
                <w:lang w:val="en-GB"/>
              </w:rPr>
              <w:t xml:space="preserve"> is particularly relevant in cases involving access to </w:t>
            </w:r>
            <w:r w:rsidRPr="008E42EE">
              <w:rPr>
                <w:rFonts w:asciiTheme="majorHAnsi" w:hAnsiTheme="majorHAnsi" w:cstheme="majorHAnsi"/>
                <w:b/>
                <w:bCs/>
                <w:iCs/>
                <w:lang w:val="en-GB"/>
              </w:rPr>
              <w:t>free and compulsory education</w:t>
            </w:r>
            <w:r w:rsidRPr="008E42EE">
              <w:rPr>
                <w:rFonts w:asciiTheme="majorHAnsi" w:hAnsiTheme="majorHAnsi" w:cstheme="majorHAnsi"/>
                <w:iCs/>
                <w:lang w:val="en-GB"/>
              </w:rPr>
              <w:t xml:space="preserve">, vocational training, and </w:t>
            </w:r>
            <w:r w:rsidRPr="008E42EE">
              <w:rPr>
                <w:rFonts w:asciiTheme="majorHAnsi" w:hAnsiTheme="majorHAnsi" w:cstheme="majorHAnsi"/>
                <w:b/>
                <w:bCs/>
                <w:iCs/>
                <w:lang w:val="en-GB"/>
              </w:rPr>
              <w:t>non-discrimination in education</w:t>
            </w:r>
            <w:r w:rsidRPr="008E42EE">
              <w:rPr>
                <w:rFonts w:asciiTheme="majorHAnsi" w:hAnsiTheme="majorHAnsi" w:cstheme="majorHAnsi"/>
                <w:iCs/>
                <w:lang w:val="en-GB"/>
              </w:rPr>
              <w:t>.</w:t>
            </w:r>
          </w:p>
          <w:p w14:paraId="6AB2655D" w14:textId="77777777" w:rsidR="008E42EE" w:rsidRPr="008E42EE" w:rsidRDefault="008E42EE" w:rsidP="008E42EE">
            <w:pPr>
              <w:numPr>
                <w:ilvl w:val="1"/>
                <w:numId w:val="10"/>
              </w:numPr>
              <w:jc w:val="both"/>
              <w:rPr>
                <w:rFonts w:asciiTheme="majorHAnsi" w:hAnsiTheme="majorHAnsi" w:cstheme="majorHAnsi"/>
                <w:iCs/>
                <w:lang w:val="en-GB"/>
              </w:rPr>
            </w:pPr>
            <w:r w:rsidRPr="008E42EE">
              <w:rPr>
                <w:rFonts w:asciiTheme="majorHAnsi" w:hAnsiTheme="majorHAnsi" w:cstheme="majorHAnsi"/>
                <w:iCs/>
                <w:lang w:val="en-GB"/>
              </w:rPr>
              <w:t xml:space="preserve">Lawyers can invoke Article 14 before national and EU courts when </w:t>
            </w:r>
            <w:r w:rsidRPr="008E42EE">
              <w:rPr>
                <w:rFonts w:asciiTheme="majorHAnsi" w:hAnsiTheme="majorHAnsi" w:cstheme="majorHAnsi"/>
                <w:b/>
                <w:bCs/>
                <w:iCs/>
                <w:lang w:val="en-GB"/>
              </w:rPr>
              <w:t>EU law is applicable</w:t>
            </w:r>
            <w:r w:rsidRPr="008E42EE">
              <w:rPr>
                <w:rFonts w:asciiTheme="majorHAnsi" w:hAnsiTheme="majorHAnsi" w:cstheme="majorHAnsi"/>
                <w:iCs/>
                <w:lang w:val="en-GB"/>
              </w:rPr>
              <w:t>, for example, when challenging national policies that restrict access to education for migrants, asylum seekers, or minority groups.</w:t>
            </w:r>
          </w:p>
          <w:p w14:paraId="58E79EBD" w14:textId="77777777" w:rsidR="008E42EE" w:rsidRPr="008E42EE" w:rsidRDefault="008E42EE" w:rsidP="008E42EE">
            <w:pPr>
              <w:numPr>
                <w:ilvl w:val="1"/>
                <w:numId w:val="10"/>
              </w:numPr>
              <w:jc w:val="both"/>
              <w:rPr>
                <w:rFonts w:asciiTheme="majorHAnsi" w:hAnsiTheme="majorHAnsi" w:cstheme="majorHAnsi"/>
                <w:iCs/>
                <w:lang w:val="en-GB"/>
              </w:rPr>
            </w:pPr>
            <w:r w:rsidRPr="008E42EE">
              <w:rPr>
                <w:rFonts w:asciiTheme="majorHAnsi" w:hAnsiTheme="majorHAnsi" w:cstheme="majorHAnsi"/>
                <w:iCs/>
                <w:lang w:val="en-GB"/>
              </w:rPr>
              <w:t xml:space="preserve">It can also be used in conjunction with </w:t>
            </w:r>
            <w:r w:rsidRPr="008E42EE">
              <w:rPr>
                <w:rFonts w:asciiTheme="majorHAnsi" w:hAnsiTheme="majorHAnsi" w:cstheme="majorHAnsi"/>
                <w:b/>
                <w:bCs/>
                <w:iCs/>
                <w:lang w:val="en-GB"/>
              </w:rPr>
              <w:t>Article 21 (Non-Discrimination)</w:t>
            </w:r>
            <w:r w:rsidRPr="008E42EE">
              <w:rPr>
                <w:rFonts w:asciiTheme="majorHAnsi" w:hAnsiTheme="majorHAnsi" w:cstheme="majorHAnsi"/>
                <w:iCs/>
                <w:lang w:val="en-GB"/>
              </w:rPr>
              <w:t xml:space="preserve"> in cases involving unequal treatment based on race, gender, disability, or economic status.</w:t>
            </w:r>
          </w:p>
          <w:p w14:paraId="0E9BDABD" w14:textId="77777777" w:rsidR="008E42EE" w:rsidRDefault="008E42EE" w:rsidP="008E42EE">
            <w:pPr>
              <w:jc w:val="both"/>
              <w:rPr>
                <w:rFonts w:asciiTheme="majorHAnsi" w:hAnsiTheme="majorHAnsi" w:cstheme="majorHAnsi"/>
                <w:b/>
                <w:bCs/>
                <w:iCs/>
                <w:lang w:val="en-GB"/>
              </w:rPr>
            </w:pPr>
          </w:p>
          <w:p w14:paraId="48C19F76" w14:textId="6DC08ADB" w:rsidR="008E42EE" w:rsidRPr="008E42EE" w:rsidRDefault="008E42EE" w:rsidP="008E42EE">
            <w:pPr>
              <w:jc w:val="both"/>
              <w:rPr>
                <w:rFonts w:asciiTheme="majorHAnsi" w:hAnsiTheme="majorHAnsi" w:cstheme="majorHAnsi"/>
                <w:iCs/>
                <w:lang w:val="en-GB"/>
              </w:rPr>
            </w:pPr>
            <w:r w:rsidRPr="008E42EE">
              <w:rPr>
                <w:rFonts w:asciiTheme="majorHAnsi" w:hAnsiTheme="majorHAnsi" w:cstheme="majorHAnsi"/>
                <w:b/>
                <w:bCs/>
                <w:iCs/>
                <w:lang w:val="en-GB"/>
              </w:rPr>
              <w:t>Interaction with Other Legal Frameworks</w:t>
            </w:r>
            <w:r w:rsidRPr="008E42EE">
              <w:rPr>
                <w:rFonts w:asciiTheme="majorHAnsi" w:hAnsiTheme="majorHAnsi" w:cstheme="majorHAnsi"/>
                <w:iCs/>
                <w:lang w:val="en-GB"/>
              </w:rPr>
              <w:t>:</w:t>
            </w:r>
          </w:p>
          <w:p w14:paraId="470F53CC" w14:textId="77777777" w:rsidR="008E42EE" w:rsidRPr="008E42EE" w:rsidRDefault="008E42EE" w:rsidP="008E42EE">
            <w:pPr>
              <w:numPr>
                <w:ilvl w:val="1"/>
                <w:numId w:val="10"/>
              </w:numPr>
              <w:jc w:val="both"/>
              <w:rPr>
                <w:rFonts w:asciiTheme="majorHAnsi" w:hAnsiTheme="majorHAnsi" w:cstheme="majorHAnsi"/>
                <w:iCs/>
                <w:lang w:val="en-GB"/>
              </w:rPr>
            </w:pPr>
            <w:r w:rsidRPr="008E42EE">
              <w:rPr>
                <w:rFonts w:asciiTheme="majorHAnsi" w:hAnsiTheme="majorHAnsi" w:cstheme="majorHAnsi"/>
                <w:iCs/>
                <w:lang w:val="en-GB"/>
              </w:rPr>
              <w:t xml:space="preserve">The right to education is also protected by </w:t>
            </w:r>
            <w:r w:rsidRPr="008E42EE">
              <w:rPr>
                <w:rFonts w:asciiTheme="majorHAnsi" w:hAnsiTheme="majorHAnsi" w:cstheme="majorHAnsi"/>
                <w:b/>
                <w:bCs/>
                <w:iCs/>
                <w:lang w:val="en-GB"/>
              </w:rPr>
              <w:t>Article 2 of Protocol No. 1 to the ECHR</w:t>
            </w:r>
            <w:r w:rsidRPr="008E42EE">
              <w:rPr>
                <w:rFonts w:asciiTheme="majorHAnsi" w:hAnsiTheme="majorHAnsi" w:cstheme="majorHAnsi"/>
                <w:iCs/>
                <w:lang w:val="en-GB"/>
              </w:rPr>
              <w:t>, which ensures respect for parental rights in education.</w:t>
            </w:r>
          </w:p>
          <w:p w14:paraId="320EA276" w14:textId="77777777" w:rsidR="008E42EE" w:rsidRPr="008E42EE" w:rsidRDefault="008E42EE" w:rsidP="008E42EE">
            <w:pPr>
              <w:numPr>
                <w:ilvl w:val="1"/>
                <w:numId w:val="10"/>
              </w:numPr>
              <w:jc w:val="both"/>
              <w:rPr>
                <w:rFonts w:asciiTheme="majorHAnsi" w:hAnsiTheme="majorHAnsi" w:cstheme="majorHAnsi"/>
                <w:iCs/>
                <w:lang w:val="en-GB"/>
              </w:rPr>
            </w:pPr>
            <w:r w:rsidRPr="008E42EE">
              <w:rPr>
                <w:rFonts w:asciiTheme="majorHAnsi" w:hAnsiTheme="majorHAnsi" w:cstheme="majorHAnsi"/>
                <w:iCs/>
                <w:lang w:val="en-GB"/>
              </w:rPr>
              <w:t xml:space="preserve">Lawyers should assess whether EU law applies before deciding whether to </w:t>
            </w:r>
            <w:r w:rsidRPr="008E42EE">
              <w:rPr>
                <w:rFonts w:asciiTheme="majorHAnsi" w:hAnsiTheme="majorHAnsi" w:cstheme="majorHAnsi"/>
                <w:b/>
                <w:bCs/>
                <w:iCs/>
                <w:lang w:val="en-GB"/>
              </w:rPr>
              <w:t>invoke the Charter or the ECHR</w:t>
            </w:r>
            <w:r w:rsidRPr="008E42EE">
              <w:rPr>
                <w:rFonts w:asciiTheme="majorHAnsi" w:hAnsiTheme="majorHAnsi" w:cstheme="majorHAnsi"/>
                <w:iCs/>
                <w:lang w:val="en-GB"/>
              </w:rPr>
              <w:t xml:space="preserve"> in their arguments.</w:t>
            </w:r>
          </w:p>
          <w:p w14:paraId="767B4B2D" w14:textId="77777777" w:rsidR="008E42EE" w:rsidRPr="008E42EE" w:rsidRDefault="008E42EE" w:rsidP="008E42EE">
            <w:pPr>
              <w:numPr>
                <w:ilvl w:val="1"/>
                <w:numId w:val="10"/>
              </w:numPr>
              <w:jc w:val="both"/>
              <w:rPr>
                <w:rFonts w:asciiTheme="majorHAnsi" w:hAnsiTheme="majorHAnsi" w:cstheme="majorHAnsi"/>
                <w:iCs/>
                <w:lang w:val="en-GB"/>
              </w:rPr>
            </w:pPr>
            <w:r w:rsidRPr="008E42EE">
              <w:rPr>
                <w:rFonts w:asciiTheme="majorHAnsi" w:hAnsiTheme="majorHAnsi" w:cstheme="majorHAnsi"/>
                <w:iCs/>
                <w:lang w:val="en-GB"/>
              </w:rPr>
              <w:t xml:space="preserve">The </w:t>
            </w:r>
            <w:r w:rsidRPr="008E42EE">
              <w:rPr>
                <w:rFonts w:asciiTheme="majorHAnsi" w:hAnsiTheme="majorHAnsi" w:cstheme="majorHAnsi"/>
                <w:b/>
                <w:bCs/>
                <w:iCs/>
                <w:lang w:val="en-GB"/>
              </w:rPr>
              <w:t>European Social Charter</w:t>
            </w:r>
            <w:r w:rsidRPr="008E42EE">
              <w:rPr>
                <w:rFonts w:asciiTheme="majorHAnsi" w:hAnsiTheme="majorHAnsi" w:cstheme="majorHAnsi"/>
                <w:iCs/>
                <w:lang w:val="en-GB"/>
              </w:rPr>
              <w:t xml:space="preserve"> (Article 17) also provides key standards, particularly concerning access to education for vulnerable groups.</w:t>
            </w:r>
          </w:p>
          <w:p w14:paraId="47FE9002" w14:textId="77777777" w:rsidR="00592852" w:rsidRPr="008E42EE" w:rsidRDefault="00592852" w:rsidP="00DA4105">
            <w:pPr>
              <w:jc w:val="both"/>
              <w:rPr>
                <w:rFonts w:asciiTheme="majorHAnsi" w:hAnsiTheme="majorHAnsi" w:cstheme="majorHAnsi"/>
                <w:iCs/>
                <w:lang w:val="en-GB"/>
              </w:rPr>
            </w:pPr>
          </w:p>
          <w:p w14:paraId="6A9A3FA5" w14:textId="77777777" w:rsidR="00D306E2" w:rsidRPr="00AE36E2" w:rsidRDefault="00D306E2" w:rsidP="008E42EE">
            <w:pPr>
              <w:jc w:val="both"/>
              <w:rPr>
                <w:rFonts w:asciiTheme="majorHAnsi" w:hAnsiTheme="majorHAnsi" w:cstheme="majorHAnsi"/>
                <w:iCs/>
                <w:lang w:val="en-US"/>
              </w:rPr>
            </w:pPr>
          </w:p>
        </w:tc>
      </w:tr>
      <w:tr w:rsidR="00664DF4" w:rsidRPr="00470C01" w14:paraId="55CAE651" w14:textId="77777777" w:rsidTr="008D2374">
        <w:tc>
          <w:tcPr>
            <w:tcW w:w="8926" w:type="dxa"/>
          </w:tcPr>
          <w:p w14:paraId="266041D9" w14:textId="77777777" w:rsidR="00664DF4" w:rsidRPr="00AE36E2" w:rsidRDefault="00664DF4" w:rsidP="00CD2B58">
            <w:pPr>
              <w:rPr>
                <w:rFonts w:ascii="Calibri" w:hAnsi="Calibri" w:cs="Calibri"/>
                <w:b/>
                <w:bCs/>
                <w:sz w:val="28"/>
                <w:szCs w:val="28"/>
                <w:lang w:val="en-US"/>
              </w:rPr>
            </w:pPr>
            <w:r w:rsidRPr="00AE36E2">
              <w:rPr>
                <w:rFonts w:ascii="Calibri" w:hAnsi="Calibri" w:cs="Calibri"/>
                <w:b/>
                <w:bCs/>
                <w:color w:val="0070C0"/>
                <w:sz w:val="28"/>
                <w:szCs w:val="28"/>
                <w:lang w:val="en-US"/>
              </w:rPr>
              <w:lastRenderedPageBreak/>
              <w:t>Correspondence with other European/International instruments</w:t>
            </w:r>
          </w:p>
        </w:tc>
      </w:tr>
      <w:tr w:rsidR="00664DF4" w:rsidRPr="00470C01" w14:paraId="260F68DA" w14:textId="77777777" w:rsidTr="008D2374">
        <w:tc>
          <w:tcPr>
            <w:tcW w:w="8926" w:type="dxa"/>
          </w:tcPr>
          <w:p w14:paraId="63F28C03" w14:textId="77777777" w:rsidR="00664DF4" w:rsidRDefault="00664DF4" w:rsidP="00CD2B58">
            <w:pPr>
              <w:rPr>
                <w:rFonts w:ascii="Calibri" w:hAnsi="Calibri" w:cs="Calibri"/>
                <w:i/>
                <w:iCs/>
                <w:lang w:val="en-US"/>
              </w:rPr>
            </w:pPr>
          </w:p>
          <w:p w14:paraId="6AF24014" w14:textId="77777777" w:rsidR="003D0AD2" w:rsidRPr="00AE36E2" w:rsidRDefault="003D0AD2" w:rsidP="00AE36E2">
            <w:pPr>
              <w:rPr>
                <w:rFonts w:asciiTheme="majorHAnsi" w:hAnsiTheme="majorHAnsi" w:cstheme="majorHAnsi"/>
                <w:lang w:val="en-US"/>
              </w:rPr>
            </w:pPr>
            <w:r w:rsidRPr="00AE36E2">
              <w:rPr>
                <w:rFonts w:asciiTheme="majorHAnsi" w:hAnsiTheme="majorHAnsi" w:cstheme="majorHAnsi"/>
                <w:lang w:val="en-US"/>
              </w:rPr>
              <w:t>The Universal Declaration of Human Rights (UDHR), adopted in 1948, states in Article 26: 'Everyone has the right to education'. Since then, the right to education has been reaffirmed in various international treaties including:</w:t>
            </w:r>
          </w:p>
          <w:p w14:paraId="6A913C2B" w14:textId="77777777" w:rsidR="003D0AD2" w:rsidRPr="00AE36E2" w:rsidRDefault="003D0AD2" w:rsidP="003D0AD2">
            <w:pPr>
              <w:rPr>
                <w:rFonts w:asciiTheme="majorHAnsi" w:hAnsiTheme="majorHAnsi" w:cstheme="majorHAnsi"/>
                <w:lang w:val="en-US"/>
              </w:rPr>
            </w:pPr>
          </w:p>
          <w:p w14:paraId="60BE3607" w14:textId="77777777" w:rsidR="003D0AD2" w:rsidRPr="00AE36E2" w:rsidRDefault="003D0AD2" w:rsidP="003D0AD2">
            <w:pPr>
              <w:pStyle w:val="Paragraphedeliste"/>
              <w:numPr>
                <w:ilvl w:val="0"/>
                <w:numId w:val="3"/>
              </w:numPr>
              <w:rPr>
                <w:rFonts w:asciiTheme="majorHAnsi" w:hAnsiTheme="majorHAnsi" w:cstheme="majorHAnsi"/>
                <w:lang w:val="en-US"/>
              </w:rPr>
            </w:pPr>
            <w:r w:rsidRPr="00AE36E2">
              <w:rPr>
                <w:rFonts w:asciiTheme="majorHAnsi" w:hAnsiTheme="majorHAnsi" w:cstheme="majorHAnsi"/>
                <w:lang w:val="en-US"/>
              </w:rPr>
              <w:t>UNESCO Convention against Discrimination in Education (1960)</w:t>
            </w:r>
          </w:p>
          <w:p w14:paraId="7C2BA6C5" w14:textId="77777777" w:rsidR="003D0AD2" w:rsidRPr="00AE36E2" w:rsidRDefault="003D0AD2" w:rsidP="003D0AD2">
            <w:pPr>
              <w:pStyle w:val="Paragraphedeliste"/>
              <w:numPr>
                <w:ilvl w:val="0"/>
                <w:numId w:val="3"/>
              </w:numPr>
              <w:rPr>
                <w:rFonts w:asciiTheme="majorHAnsi" w:hAnsiTheme="majorHAnsi" w:cstheme="majorHAnsi"/>
                <w:lang w:val="en-US"/>
              </w:rPr>
            </w:pPr>
            <w:r w:rsidRPr="00AE36E2">
              <w:rPr>
                <w:rFonts w:asciiTheme="majorHAnsi" w:hAnsiTheme="majorHAnsi" w:cstheme="majorHAnsi"/>
                <w:lang w:val="en-US"/>
              </w:rPr>
              <w:t>International Covenant on the Elimination of All Forms of Racial Discrimination (1965)</w:t>
            </w:r>
          </w:p>
          <w:p w14:paraId="31A9D9EA" w14:textId="77777777" w:rsidR="003D0AD2" w:rsidRPr="00AE36E2" w:rsidRDefault="003D0AD2" w:rsidP="003D0AD2">
            <w:pPr>
              <w:pStyle w:val="Paragraphedeliste"/>
              <w:numPr>
                <w:ilvl w:val="0"/>
                <w:numId w:val="3"/>
              </w:numPr>
              <w:rPr>
                <w:rFonts w:asciiTheme="majorHAnsi" w:hAnsiTheme="majorHAnsi" w:cstheme="majorHAnsi"/>
                <w:lang w:val="en-US"/>
              </w:rPr>
            </w:pPr>
            <w:r w:rsidRPr="00AE36E2">
              <w:rPr>
                <w:rFonts w:asciiTheme="majorHAnsi" w:hAnsiTheme="majorHAnsi" w:cstheme="majorHAnsi"/>
                <w:lang w:val="en-US"/>
              </w:rPr>
              <w:t>International Covenant on Economic Social and Cultural Rights (1966)</w:t>
            </w:r>
          </w:p>
          <w:p w14:paraId="5C19B3B5" w14:textId="77777777" w:rsidR="003D0AD2" w:rsidRPr="00AE36E2" w:rsidRDefault="003D0AD2" w:rsidP="003D0AD2">
            <w:pPr>
              <w:pStyle w:val="Paragraphedeliste"/>
              <w:numPr>
                <w:ilvl w:val="0"/>
                <w:numId w:val="3"/>
              </w:numPr>
              <w:rPr>
                <w:rFonts w:asciiTheme="majorHAnsi" w:hAnsiTheme="majorHAnsi" w:cstheme="majorHAnsi"/>
                <w:lang w:val="en-US"/>
              </w:rPr>
            </w:pPr>
            <w:r w:rsidRPr="00AE36E2">
              <w:rPr>
                <w:rFonts w:asciiTheme="majorHAnsi" w:hAnsiTheme="majorHAnsi" w:cstheme="majorHAnsi"/>
                <w:lang w:val="en-US"/>
              </w:rPr>
              <w:t>Convention on the Elimination of All Forms of Discrimination against Women (1979)</w:t>
            </w:r>
          </w:p>
          <w:p w14:paraId="61100E74" w14:textId="77777777" w:rsidR="003D0AD2" w:rsidRPr="00AE36E2" w:rsidRDefault="003D0AD2" w:rsidP="003D0AD2">
            <w:pPr>
              <w:pStyle w:val="Paragraphedeliste"/>
              <w:numPr>
                <w:ilvl w:val="0"/>
                <w:numId w:val="3"/>
              </w:numPr>
              <w:rPr>
                <w:rFonts w:asciiTheme="majorHAnsi" w:hAnsiTheme="majorHAnsi" w:cstheme="majorHAnsi"/>
                <w:lang w:val="en-US"/>
              </w:rPr>
            </w:pPr>
            <w:r w:rsidRPr="00AE36E2">
              <w:rPr>
                <w:rFonts w:asciiTheme="majorHAnsi" w:hAnsiTheme="majorHAnsi" w:cstheme="majorHAnsi"/>
                <w:lang w:val="en-US"/>
              </w:rPr>
              <w:t>Convention on the Rights of the Child (1989)</w:t>
            </w:r>
          </w:p>
          <w:p w14:paraId="400760F7" w14:textId="77777777" w:rsidR="003D0AD2" w:rsidRPr="00AE36E2" w:rsidRDefault="003D0AD2" w:rsidP="003D0AD2">
            <w:pPr>
              <w:pStyle w:val="Paragraphedeliste"/>
              <w:numPr>
                <w:ilvl w:val="0"/>
                <w:numId w:val="3"/>
              </w:numPr>
              <w:rPr>
                <w:rFonts w:asciiTheme="majorHAnsi" w:hAnsiTheme="majorHAnsi" w:cstheme="majorHAnsi"/>
                <w:lang w:val="en-US"/>
              </w:rPr>
            </w:pPr>
            <w:r w:rsidRPr="00AE36E2">
              <w:rPr>
                <w:rFonts w:asciiTheme="majorHAnsi" w:hAnsiTheme="majorHAnsi" w:cstheme="majorHAnsi"/>
                <w:lang w:val="en-US"/>
              </w:rPr>
              <w:t>International Convention on the Protection of the Rights of All Migrant Workers and Members of their families (1990)</w:t>
            </w:r>
          </w:p>
          <w:p w14:paraId="761FC1FD" w14:textId="77777777" w:rsidR="003D0AD2" w:rsidRPr="00AE36E2" w:rsidRDefault="003D0AD2" w:rsidP="003D0AD2">
            <w:pPr>
              <w:pStyle w:val="Paragraphedeliste"/>
              <w:numPr>
                <w:ilvl w:val="0"/>
                <w:numId w:val="3"/>
              </w:numPr>
              <w:rPr>
                <w:rFonts w:asciiTheme="majorHAnsi" w:hAnsiTheme="majorHAnsi" w:cstheme="majorHAnsi"/>
                <w:lang w:val="en-US"/>
              </w:rPr>
            </w:pPr>
            <w:r w:rsidRPr="00AE36E2">
              <w:rPr>
                <w:rFonts w:asciiTheme="majorHAnsi" w:hAnsiTheme="majorHAnsi" w:cstheme="majorHAnsi"/>
                <w:lang w:val="en-US"/>
              </w:rPr>
              <w:t>Convention on the Rights of Persons with Disabilities (2006).</w:t>
            </w:r>
          </w:p>
          <w:p w14:paraId="3B61F415" w14:textId="77777777" w:rsidR="003D0AD2" w:rsidRPr="00AE36E2" w:rsidRDefault="003D0AD2" w:rsidP="003D0AD2">
            <w:pPr>
              <w:rPr>
                <w:rFonts w:asciiTheme="majorHAnsi" w:hAnsiTheme="majorHAnsi" w:cstheme="majorHAnsi"/>
                <w:lang w:val="en-US"/>
              </w:rPr>
            </w:pPr>
          </w:p>
          <w:p w14:paraId="37DD9622" w14:textId="77777777" w:rsidR="00D4054E" w:rsidRPr="00AE36E2" w:rsidRDefault="003D0AD2" w:rsidP="003D0AD2">
            <w:pPr>
              <w:rPr>
                <w:rFonts w:asciiTheme="majorHAnsi" w:hAnsiTheme="majorHAnsi" w:cstheme="majorHAnsi"/>
                <w:lang w:val="en-US"/>
              </w:rPr>
            </w:pPr>
            <w:r w:rsidRPr="00AE36E2">
              <w:rPr>
                <w:rFonts w:asciiTheme="majorHAnsi" w:hAnsiTheme="majorHAnsi" w:cstheme="majorHAnsi"/>
                <w:lang w:val="en-US"/>
              </w:rPr>
              <w:t xml:space="preserve">The right to education has also been </w:t>
            </w:r>
            <w:proofErr w:type="spellStart"/>
            <w:r w:rsidRPr="00AE36E2">
              <w:rPr>
                <w:rFonts w:asciiTheme="majorHAnsi" w:hAnsiTheme="majorHAnsi" w:cstheme="majorHAnsi"/>
                <w:lang w:val="en-US"/>
              </w:rPr>
              <w:t>recognised</w:t>
            </w:r>
            <w:proofErr w:type="spellEnd"/>
            <w:r w:rsidRPr="00AE36E2">
              <w:rPr>
                <w:rFonts w:asciiTheme="majorHAnsi" w:hAnsiTheme="majorHAnsi" w:cstheme="majorHAnsi"/>
                <w:lang w:val="en-US"/>
              </w:rPr>
              <w:t xml:space="preserve"> in ILO Conventions and international humanitarian law, as well as in regional treaties.</w:t>
            </w:r>
          </w:p>
          <w:p w14:paraId="4AD55B49" w14:textId="77777777" w:rsidR="003D0AD2" w:rsidRPr="00AE36E2" w:rsidRDefault="003D0AD2" w:rsidP="008E3D3E">
            <w:pPr>
              <w:rPr>
                <w:rFonts w:asciiTheme="majorHAnsi" w:hAnsiTheme="majorHAnsi" w:cstheme="majorHAnsi"/>
                <w:lang w:val="en-US"/>
              </w:rPr>
            </w:pPr>
          </w:p>
          <w:p w14:paraId="761BDD8D" w14:textId="77777777" w:rsidR="008E3D3E" w:rsidRPr="00470C01" w:rsidRDefault="008E3D3E" w:rsidP="008E3D3E">
            <w:pPr>
              <w:rPr>
                <w:rFonts w:ascii="Calibri" w:hAnsi="Calibri" w:cs="Calibri"/>
                <w:i/>
                <w:iCs/>
                <w:lang w:val="en-US"/>
              </w:rPr>
            </w:pPr>
          </w:p>
        </w:tc>
      </w:tr>
      <w:tr w:rsidR="00664DF4" w:rsidRPr="00470C01" w14:paraId="1613A57F" w14:textId="77777777" w:rsidTr="008D2374">
        <w:tc>
          <w:tcPr>
            <w:tcW w:w="8926" w:type="dxa"/>
          </w:tcPr>
          <w:p w14:paraId="38364C23" w14:textId="77777777" w:rsidR="00664DF4" w:rsidRPr="00AE36E2" w:rsidRDefault="00664DF4" w:rsidP="00CD2B58">
            <w:pPr>
              <w:rPr>
                <w:b/>
                <w:bCs/>
                <w:color w:val="000000" w:themeColor="text1"/>
                <w:sz w:val="28"/>
                <w:szCs w:val="28"/>
                <w:lang w:val="en-US"/>
              </w:rPr>
            </w:pPr>
            <w:r w:rsidRPr="00AE36E2">
              <w:rPr>
                <w:b/>
                <w:bCs/>
                <w:color w:val="0070C0"/>
                <w:sz w:val="28"/>
                <w:szCs w:val="28"/>
                <w:lang w:val="en-US"/>
              </w:rPr>
              <w:t>Further readings</w:t>
            </w:r>
          </w:p>
        </w:tc>
      </w:tr>
      <w:tr w:rsidR="00664DF4" w:rsidRPr="00470C01" w14:paraId="4734B45E" w14:textId="77777777" w:rsidTr="008D2374">
        <w:tc>
          <w:tcPr>
            <w:tcW w:w="8926" w:type="dxa"/>
          </w:tcPr>
          <w:p w14:paraId="6EA1AC83" w14:textId="77777777" w:rsidR="00AE36E2" w:rsidRDefault="00AE36E2" w:rsidP="00AE36E2">
            <w:pPr>
              <w:pStyle w:val="Paragraphedeliste"/>
              <w:rPr>
                <w:iCs/>
                <w:color w:val="000000" w:themeColor="text1"/>
                <w:lang w:val="en-US"/>
              </w:rPr>
            </w:pPr>
          </w:p>
          <w:p w14:paraId="0AC0B741" w14:textId="1233F744" w:rsidR="00DB15BF" w:rsidRDefault="00DB15BF" w:rsidP="00DB15BF">
            <w:pPr>
              <w:pStyle w:val="Paragraphedeliste"/>
              <w:numPr>
                <w:ilvl w:val="0"/>
                <w:numId w:val="3"/>
              </w:numPr>
              <w:rPr>
                <w:iCs/>
                <w:color w:val="000000" w:themeColor="text1"/>
                <w:lang w:val="en-US"/>
              </w:rPr>
            </w:pPr>
            <w:r>
              <w:rPr>
                <w:iCs/>
                <w:color w:val="000000" w:themeColor="text1"/>
                <w:lang w:val="en-US"/>
              </w:rPr>
              <w:t>Sandra Fredman</w:t>
            </w:r>
            <w:proofErr w:type="gramStart"/>
            <w:r>
              <w:rPr>
                <w:iCs/>
                <w:color w:val="000000" w:themeColor="text1"/>
                <w:lang w:val="en-US"/>
              </w:rPr>
              <w:t>:  The</w:t>
            </w:r>
            <w:proofErr w:type="gramEnd"/>
            <w:r>
              <w:rPr>
                <w:iCs/>
                <w:color w:val="000000" w:themeColor="text1"/>
                <w:lang w:val="en-US"/>
              </w:rPr>
              <w:t xml:space="preserve"> Right to Education, Comparative Human Rights Law Oxford, 2018</w:t>
            </w:r>
          </w:p>
          <w:p w14:paraId="1E430258" w14:textId="77777777" w:rsidR="00DB15BF" w:rsidRDefault="00DB15BF" w:rsidP="00DB15BF">
            <w:pPr>
              <w:pStyle w:val="Paragraphedeliste"/>
              <w:numPr>
                <w:ilvl w:val="0"/>
                <w:numId w:val="3"/>
              </w:numPr>
              <w:rPr>
                <w:iCs/>
                <w:color w:val="000000" w:themeColor="text1"/>
                <w:lang w:val="en-US"/>
              </w:rPr>
            </w:pPr>
            <w:r w:rsidRPr="00DB15BF">
              <w:rPr>
                <w:iCs/>
                <w:color w:val="000000" w:themeColor="text1"/>
                <w:lang w:val="en-US"/>
              </w:rPr>
              <w:lastRenderedPageBreak/>
              <w:t xml:space="preserve">Gauthier de </w:t>
            </w:r>
            <w:r>
              <w:rPr>
                <w:iCs/>
                <w:color w:val="000000" w:themeColor="text1"/>
                <w:lang w:val="en-US"/>
              </w:rPr>
              <w:t xml:space="preserve">Beco, Shivaun Quinlivan, et al.: </w:t>
            </w:r>
            <w:r w:rsidRPr="00DB15BF">
              <w:rPr>
                <w:iCs/>
                <w:color w:val="000000" w:themeColor="text1"/>
                <w:lang w:val="en-US"/>
              </w:rPr>
              <w:t>The Right to Inclusive Education in International Human Rights Law (Cambridge Disability Law and Policy)</w:t>
            </w:r>
            <w:r>
              <w:rPr>
                <w:iCs/>
                <w:color w:val="000000" w:themeColor="text1"/>
                <w:lang w:val="en-US"/>
              </w:rPr>
              <w:t xml:space="preserve">, </w:t>
            </w:r>
            <w:r w:rsidRPr="00DB15BF">
              <w:rPr>
                <w:iCs/>
                <w:color w:val="000000" w:themeColor="text1"/>
                <w:lang w:val="en-US"/>
              </w:rPr>
              <w:t>2019</w:t>
            </w:r>
          </w:p>
          <w:p w14:paraId="0BBDB99F" w14:textId="77777777" w:rsidR="00083BE2" w:rsidRPr="00083BE2" w:rsidRDefault="00083BE2" w:rsidP="00083BE2">
            <w:pPr>
              <w:pStyle w:val="Paragraphedeliste"/>
              <w:numPr>
                <w:ilvl w:val="0"/>
                <w:numId w:val="3"/>
              </w:numPr>
              <w:rPr>
                <w:iCs/>
                <w:color w:val="000000" w:themeColor="text1"/>
                <w:lang w:val="en-US"/>
              </w:rPr>
            </w:pPr>
            <w:r>
              <w:rPr>
                <w:iCs/>
                <w:color w:val="000000" w:themeColor="text1"/>
                <w:lang w:val="en-US"/>
              </w:rPr>
              <w:t xml:space="preserve">Klaus Dieter Beiter, </w:t>
            </w:r>
            <w:r w:rsidRPr="00083BE2">
              <w:rPr>
                <w:iCs/>
                <w:color w:val="000000" w:themeColor="text1"/>
                <w:lang w:val="en-US"/>
              </w:rPr>
              <w:t>The Protection of the Right to Education by International Law</w:t>
            </w:r>
            <w:r>
              <w:rPr>
                <w:iCs/>
                <w:color w:val="000000" w:themeColor="text1"/>
                <w:lang w:val="en-US"/>
              </w:rPr>
              <w:t xml:space="preserve"> </w:t>
            </w:r>
            <w:r w:rsidRPr="00083BE2">
              <w:rPr>
                <w:iCs/>
                <w:color w:val="000000" w:themeColor="text1"/>
                <w:lang w:val="en-US"/>
              </w:rPr>
              <w:t>Including a Systematic Analysis of Article 13 of the International Covenant on Economic, Social and Cultural Rights</w:t>
            </w:r>
            <w:r>
              <w:rPr>
                <w:iCs/>
                <w:color w:val="000000" w:themeColor="text1"/>
                <w:lang w:val="en-US"/>
              </w:rPr>
              <w:t xml:space="preserve">, </w:t>
            </w:r>
            <w:r w:rsidRPr="00083BE2">
              <w:rPr>
                <w:iCs/>
                <w:color w:val="000000" w:themeColor="text1"/>
                <w:lang w:val="en-US"/>
              </w:rPr>
              <w:t>Series</w:t>
            </w:r>
            <w:proofErr w:type="gramStart"/>
            <w:r w:rsidRPr="00083BE2">
              <w:rPr>
                <w:iCs/>
                <w:color w:val="000000" w:themeColor="text1"/>
                <w:lang w:val="en-US"/>
              </w:rPr>
              <w:t xml:space="preserve">: </w:t>
            </w:r>
            <w:r>
              <w:rPr>
                <w:iCs/>
                <w:color w:val="000000" w:themeColor="text1"/>
                <w:lang w:val="en-US"/>
              </w:rPr>
              <w:t xml:space="preserve"> </w:t>
            </w:r>
            <w:r w:rsidRPr="00083BE2">
              <w:rPr>
                <w:iCs/>
                <w:color w:val="000000" w:themeColor="text1"/>
                <w:lang w:val="en-US"/>
              </w:rPr>
              <w:t>International</w:t>
            </w:r>
            <w:proofErr w:type="gramEnd"/>
            <w:r w:rsidRPr="00083BE2">
              <w:rPr>
                <w:iCs/>
                <w:color w:val="000000" w:themeColor="text1"/>
                <w:lang w:val="en-US"/>
              </w:rPr>
              <w:t xml:space="preserve"> Studies in Human Rights, Volume: 82</w:t>
            </w:r>
            <w:r>
              <w:rPr>
                <w:iCs/>
                <w:color w:val="000000" w:themeColor="text1"/>
                <w:lang w:val="en-US"/>
              </w:rPr>
              <w:t xml:space="preserve">, Brill, 2006 </w:t>
            </w:r>
          </w:p>
          <w:p w14:paraId="0886BF77" w14:textId="77777777" w:rsidR="00DB15BF" w:rsidRPr="00DB15BF" w:rsidRDefault="00083BE2" w:rsidP="00DB15BF">
            <w:pPr>
              <w:pStyle w:val="Paragraphedeliste"/>
              <w:numPr>
                <w:ilvl w:val="0"/>
                <w:numId w:val="3"/>
              </w:numPr>
              <w:rPr>
                <w:iCs/>
                <w:color w:val="000000" w:themeColor="text1"/>
                <w:lang w:val="en-US"/>
              </w:rPr>
            </w:pPr>
            <w:proofErr w:type="spellStart"/>
            <w:r>
              <w:rPr>
                <w:iCs/>
                <w:color w:val="000000" w:themeColor="text1"/>
                <w:lang w:val="en-US"/>
              </w:rPr>
              <w:t>Gerison</w:t>
            </w:r>
            <w:proofErr w:type="spellEnd"/>
            <w:r>
              <w:rPr>
                <w:iCs/>
                <w:color w:val="000000" w:themeColor="text1"/>
                <w:lang w:val="en-US"/>
              </w:rPr>
              <w:t xml:space="preserve"> Lansdown and </w:t>
            </w:r>
            <w:proofErr w:type="spellStart"/>
            <w:r>
              <w:rPr>
                <w:iCs/>
                <w:color w:val="000000" w:themeColor="text1"/>
                <w:lang w:val="en-US"/>
              </w:rPr>
              <w:t>Zibha</w:t>
            </w:r>
            <w:proofErr w:type="spellEnd"/>
            <w:r>
              <w:rPr>
                <w:iCs/>
                <w:color w:val="000000" w:themeColor="text1"/>
                <w:lang w:val="en-US"/>
              </w:rPr>
              <w:t xml:space="preserve"> </w:t>
            </w:r>
            <w:proofErr w:type="spellStart"/>
            <w:r>
              <w:rPr>
                <w:iCs/>
                <w:color w:val="000000" w:themeColor="text1"/>
                <w:lang w:val="en-US"/>
              </w:rPr>
              <w:t>Vaghri</w:t>
            </w:r>
            <w:proofErr w:type="spellEnd"/>
            <w:r>
              <w:rPr>
                <w:iCs/>
                <w:color w:val="000000" w:themeColor="text1"/>
                <w:lang w:val="en-US"/>
              </w:rPr>
              <w:t xml:space="preserve">: </w:t>
            </w:r>
            <w:r w:rsidR="00DB15BF" w:rsidRPr="00DB15BF">
              <w:rPr>
                <w:iCs/>
                <w:color w:val="000000" w:themeColor="text1"/>
                <w:lang w:val="en-US"/>
              </w:rPr>
              <w:t xml:space="preserve">Article 28: The Right to Education. In: </w:t>
            </w:r>
            <w:proofErr w:type="spellStart"/>
            <w:r w:rsidR="00DB15BF" w:rsidRPr="00DB15BF">
              <w:rPr>
                <w:iCs/>
                <w:color w:val="000000" w:themeColor="text1"/>
                <w:lang w:val="en-US"/>
              </w:rPr>
              <w:t>Vaghri</w:t>
            </w:r>
            <w:proofErr w:type="spellEnd"/>
            <w:r w:rsidR="00DB15BF" w:rsidRPr="00DB15BF">
              <w:rPr>
                <w:iCs/>
                <w:color w:val="000000" w:themeColor="text1"/>
                <w:lang w:val="en-US"/>
              </w:rPr>
              <w:t xml:space="preserve">, Z., </w:t>
            </w:r>
            <w:proofErr w:type="spellStart"/>
            <w:r w:rsidR="00DB15BF" w:rsidRPr="00DB15BF">
              <w:rPr>
                <w:iCs/>
                <w:color w:val="000000" w:themeColor="text1"/>
                <w:lang w:val="en-US"/>
              </w:rPr>
              <w:t>Zermatten</w:t>
            </w:r>
            <w:proofErr w:type="spellEnd"/>
            <w:r w:rsidR="00DB15BF" w:rsidRPr="00DB15BF">
              <w:rPr>
                <w:iCs/>
                <w:color w:val="000000" w:themeColor="text1"/>
                <w:lang w:val="en-US"/>
              </w:rPr>
              <w:t>, J., Lansdown, G., Ruggiero, R. (eds) Monitoring State Compliance with the UN Convention on the Rights of the Child. Children’s Well-Being: Indicators and Research, vol 25. Springer,</w:t>
            </w:r>
            <w:r>
              <w:rPr>
                <w:iCs/>
                <w:color w:val="000000" w:themeColor="text1"/>
                <w:lang w:val="en-US"/>
              </w:rPr>
              <w:t xml:space="preserve"> 2022</w:t>
            </w:r>
          </w:p>
          <w:p w14:paraId="346BDC46" w14:textId="77777777" w:rsidR="00083BE2" w:rsidRDefault="00083BE2" w:rsidP="00083BE2">
            <w:pPr>
              <w:pStyle w:val="Paragraphedeliste"/>
              <w:numPr>
                <w:ilvl w:val="0"/>
                <w:numId w:val="3"/>
              </w:numPr>
              <w:rPr>
                <w:iCs/>
                <w:color w:val="000000" w:themeColor="text1"/>
                <w:lang w:val="en-US"/>
              </w:rPr>
            </w:pPr>
            <w:r>
              <w:rPr>
                <w:iCs/>
                <w:color w:val="000000" w:themeColor="text1"/>
                <w:lang w:val="en-US"/>
              </w:rPr>
              <w:t xml:space="preserve">Joel Spring: </w:t>
            </w:r>
            <w:r w:rsidRPr="00083BE2">
              <w:rPr>
                <w:iCs/>
                <w:color w:val="000000" w:themeColor="text1"/>
                <w:lang w:val="en-US"/>
              </w:rPr>
              <w:t>The Universal Right to Education</w:t>
            </w:r>
            <w:r>
              <w:rPr>
                <w:iCs/>
                <w:color w:val="000000" w:themeColor="text1"/>
                <w:lang w:val="en-US"/>
              </w:rPr>
              <w:t xml:space="preserve">. </w:t>
            </w:r>
            <w:r w:rsidRPr="00083BE2">
              <w:rPr>
                <w:iCs/>
                <w:color w:val="000000" w:themeColor="text1"/>
                <w:lang w:val="en-US"/>
              </w:rPr>
              <w:t>Justification, Definition, and Guidelines</w:t>
            </w:r>
            <w:r>
              <w:rPr>
                <w:iCs/>
                <w:color w:val="000000" w:themeColor="text1"/>
                <w:lang w:val="en-US"/>
              </w:rPr>
              <w:t>, Routledge, 2000</w:t>
            </w:r>
          </w:p>
          <w:p w14:paraId="28EE2B12" w14:textId="77777777" w:rsidR="00083BE2" w:rsidRPr="00083BE2" w:rsidRDefault="00083BE2" w:rsidP="00083BE2">
            <w:pPr>
              <w:pStyle w:val="Paragraphedeliste"/>
              <w:rPr>
                <w:iCs/>
                <w:color w:val="000000" w:themeColor="text1"/>
                <w:lang w:val="en-US"/>
              </w:rPr>
            </w:pPr>
          </w:p>
          <w:p w14:paraId="53F70982" w14:textId="77777777" w:rsidR="00664DF4" w:rsidRPr="00083BE2" w:rsidRDefault="00664DF4" w:rsidP="00083BE2">
            <w:pPr>
              <w:ind w:left="360"/>
              <w:rPr>
                <w:i/>
                <w:iCs/>
                <w:color w:val="000000" w:themeColor="text1"/>
                <w:lang w:val="en-US"/>
              </w:rPr>
            </w:pPr>
          </w:p>
        </w:tc>
      </w:tr>
    </w:tbl>
    <w:p w14:paraId="4BF84274" w14:textId="77777777" w:rsidR="00B6626F" w:rsidRDefault="00B6626F"/>
    <w:sectPr w:rsidR="00B6626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410A5" w14:textId="77777777" w:rsidR="000067E8" w:rsidRDefault="000067E8" w:rsidP="000067E8">
      <w:r>
        <w:separator/>
      </w:r>
    </w:p>
  </w:endnote>
  <w:endnote w:type="continuationSeparator" w:id="0">
    <w:p w14:paraId="3C218DAC" w14:textId="77777777" w:rsidR="000067E8" w:rsidRDefault="000067E8" w:rsidP="0000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56141" w14:textId="77777777" w:rsidR="000067E8" w:rsidRDefault="000067E8" w:rsidP="000067E8">
      <w:r>
        <w:separator/>
      </w:r>
    </w:p>
  </w:footnote>
  <w:footnote w:type="continuationSeparator" w:id="0">
    <w:p w14:paraId="736105FB" w14:textId="77777777" w:rsidR="000067E8" w:rsidRDefault="000067E8" w:rsidP="00006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8F3B7" w14:textId="44CF36FE" w:rsidR="00F007D2" w:rsidRDefault="004F0A4A">
    <w:pPr>
      <w:pStyle w:val="En-tte"/>
    </w:pPr>
    <w:r>
      <w:rPr>
        <w:rFonts w:ascii="Calibri" w:hAnsi="Calibri" w:cs="Calibri"/>
        <w:b/>
        <w:bCs/>
        <w:noProof/>
        <w:lang w:val="en-US"/>
      </w:rPr>
      <w:drawing>
        <wp:anchor distT="0" distB="0" distL="114300" distR="114300" simplePos="0" relativeHeight="251665408" behindDoc="1" locked="0" layoutInCell="1" allowOverlap="1" wp14:anchorId="4631390E" wp14:editId="271FE02B">
          <wp:simplePos x="0" y="0"/>
          <wp:positionH relativeFrom="page">
            <wp:posOffset>-228600</wp:posOffset>
          </wp:positionH>
          <wp:positionV relativeFrom="paragraph">
            <wp:posOffset>-591094</wp:posOffset>
          </wp:positionV>
          <wp:extent cx="7707940" cy="849085"/>
          <wp:effectExtent l="0" t="0" r="7620" b="8255"/>
          <wp:wrapNone/>
          <wp:docPr id="847529213"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27614" cy="85125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219C"/>
    <w:multiLevelType w:val="multilevel"/>
    <w:tmpl w:val="44CA8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330F2"/>
    <w:multiLevelType w:val="hybridMultilevel"/>
    <w:tmpl w:val="0C3820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BF043CC"/>
    <w:multiLevelType w:val="multilevel"/>
    <w:tmpl w:val="7890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FC6403"/>
    <w:multiLevelType w:val="multilevel"/>
    <w:tmpl w:val="24065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E8303C"/>
    <w:multiLevelType w:val="hybridMultilevel"/>
    <w:tmpl w:val="54DAB5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4BA41F38"/>
    <w:multiLevelType w:val="hybridMultilevel"/>
    <w:tmpl w:val="7D14CE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508D7750"/>
    <w:multiLevelType w:val="multilevel"/>
    <w:tmpl w:val="14208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A45B58"/>
    <w:multiLevelType w:val="hybridMultilevel"/>
    <w:tmpl w:val="3074604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DF0256"/>
    <w:multiLevelType w:val="hybridMultilevel"/>
    <w:tmpl w:val="44BC6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D6A3A5A"/>
    <w:multiLevelType w:val="multilevel"/>
    <w:tmpl w:val="A5BCBA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003699"/>
    <w:multiLevelType w:val="multilevel"/>
    <w:tmpl w:val="92262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B56B83"/>
    <w:multiLevelType w:val="multilevel"/>
    <w:tmpl w:val="793C9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9444876">
    <w:abstractNumId w:val="8"/>
  </w:num>
  <w:num w:numId="2" w16cid:durableId="1211965994">
    <w:abstractNumId w:val="4"/>
  </w:num>
  <w:num w:numId="3" w16cid:durableId="1806971346">
    <w:abstractNumId w:val="5"/>
  </w:num>
  <w:num w:numId="4" w16cid:durableId="526867116">
    <w:abstractNumId w:val="1"/>
  </w:num>
  <w:num w:numId="5" w16cid:durableId="474762700">
    <w:abstractNumId w:val="7"/>
  </w:num>
  <w:num w:numId="6" w16cid:durableId="341976594">
    <w:abstractNumId w:val="6"/>
  </w:num>
  <w:num w:numId="7" w16cid:durableId="740257283">
    <w:abstractNumId w:val="3"/>
  </w:num>
  <w:num w:numId="8" w16cid:durableId="1950314686">
    <w:abstractNumId w:val="2"/>
  </w:num>
  <w:num w:numId="9" w16cid:durableId="594359996">
    <w:abstractNumId w:val="10"/>
  </w:num>
  <w:num w:numId="10" w16cid:durableId="405810074">
    <w:abstractNumId w:val="0"/>
  </w:num>
  <w:num w:numId="11" w16cid:durableId="622150219">
    <w:abstractNumId w:val="9"/>
  </w:num>
  <w:num w:numId="12" w16cid:durableId="15347325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de-DE"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26F"/>
    <w:rsid w:val="000067E8"/>
    <w:rsid w:val="00083BE2"/>
    <w:rsid w:val="00106CE9"/>
    <w:rsid w:val="00130F17"/>
    <w:rsid w:val="00164E28"/>
    <w:rsid w:val="001D2958"/>
    <w:rsid w:val="001E08D4"/>
    <w:rsid w:val="00245C92"/>
    <w:rsid w:val="00280324"/>
    <w:rsid w:val="002E55BA"/>
    <w:rsid w:val="003A5F4A"/>
    <w:rsid w:val="003C3D20"/>
    <w:rsid w:val="003C4CA4"/>
    <w:rsid w:val="003D0AD2"/>
    <w:rsid w:val="004623AC"/>
    <w:rsid w:val="004716E8"/>
    <w:rsid w:val="004F0A4A"/>
    <w:rsid w:val="00504BE6"/>
    <w:rsid w:val="00556E79"/>
    <w:rsid w:val="00592852"/>
    <w:rsid w:val="005A735D"/>
    <w:rsid w:val="005B771F"/>
    <w:rsid w:val="005E5EF0"/>
    <w:rsid w:val="005E7438"/>
    <w:rsid w:val="00604201"/>
    <w:rsid w:val="0062393D"/>
    <w:rsid w:val="006604F3"/>
    <w:rsid w:val="00664DF4"/>
    <w:rsid w:val="006C1402"/>
    <w:rsid w:val="007329D3"/>
    <w:rsid w:val="007717DA"/>
    <w:rsid w:val="00810949"/>
    <w:rsid w:val="00812440"/>
    <w:rsid w:val="008266E0"/>
    <w:rsid w:val="00885888"/>
    <w:rsid w:val="008B3A8D"/>
    <w:rsid w:val="008D2374"/>
    <w:rsid w:val="008E3D3E"/>
    <w:rsid w:val="008E42EE"/>
    <w:rsid w:val="0091370A"/>
    <w:rsid w:val="00AA733C"/>
    <w:rsid w:val="00AB4EF1"/>
    <w:rsid w:val="00AD2172"/>
    <w:rsid w:val="00AE36E2"/>
    <w:rsid w:val="00B02EDB"/>
    <w:rsid w:val="00B24B22"/>
    <w:rsid w:val="00B6626F"/>
    <w:rsid w:val="00B75123"/>
    <w:rsid w:val="00B81FE4"/>
    <w:rsid w:val="00B83ED7"/>
    <w:rsid w:val="00B86AAA"/>
    <w:rsid w:val="00BA2124"/>
    <w:rsid w:val="00BC3FCB"/>
    <w:rsid w:val="00D306E2"/>
    <w:rsid w:val="00D4054E"/>
    <w:rsid w:val="00DA3948"/>
    <w:rsid w:val="00DA4105"/>
    <w:rsid w:val="00DB15BF"/>
    <w:rsid w:val="00DF3DE1"/>
    <w:rsid w:val="00E1047A"/>
    <w:rsid w:val="00E471DF"/>
    <w:rsid w:val="00E73F62"/>
    <w:rsid w:val="00ED5B61"/>
    <w:rsid w:val="00F007D2"/>
    <w:rsid w:val="00F2715F"/>
    <w:rsid w:val="00FA4D1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38D8A0"/>
  <w15:chartTrackingRefBased/>
  <w15:docId w15:val="{F9940BF8-6276-488D-A927-E0189707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DF4"/>
    <w:pPr>
      <w:spacing w:after="0" w:line="240" w:lineRule="auto"/>
    </w:pPr>
    <w:rPr>
      <w:kern w:val="2"/>
      <w:sz w:val="24"/>
      <w:szCs w:val="24"/>
      <w:lang w:val="es-E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64DF4"/>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Grilledutableau">
    <w:name w:val="Table Grid"/>
    <w:basedOn w:val="TableauNormal"/>
    <w:uiPriority w:val="39"/>
    <w:rsid w:val="00664DF4"/>
    <w:pPr>
      <w:spacing w:after="0" w:line="240" w:lineRule="auto"/>
    </w:pPr>
    <w:rPr>
      <w:kern w:val="2"/>
      <w:sz w:val="24"/>
      <w:szCs w:val="24"/>
      <w:lang w:val="es-E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64DF4"/>
    <w:pPr>
      <w:ind w:left="720"/>
      <w:contextualSpacing/>
    </w:pPr>
  </w:style>
  <w:style w:type="character" w:styleId="Accentuation">
    <w:name w:val="Emphasis"/>
    <w:basedOn w:val="Policepardfaut"/>
    <w:uiPriority w:val="20"/>
    <w:qFormat/>
    <w:rsid w:val="00664DF4"/>
    <w:rPr>
      <w:i/>
      <w:iCs/>
    </w:rPr>
  </w:style>
  <w:style w:type="paragraph" w:styleId="En-tte">
    <w:name w:val="header"/>
    <w:basedOn w:val="Normal"/>
    <w:link w:val="En-tteCar"/>
    <w:uiPriority w:val="99"/>
    <w:unhideWhenUsed/>
    <w:rsid w:val="000067E8"/>
    <w:pPr>
      <w:tabs>
        <w:tab w:val="center" w:pos="4513"/>
        <w:tab w:val="right" w:pos="9026"/>
      </w:tabs>
    </w:pPr>
  </w:style>
  <w:style w:type="character" w:customStyle="1" w:styleId="En-tteCar">
    <w:name w:val="En-tête Car"/>
    <w:basedOn w:val="Policepardfaut"/>
    <w:link w:val="En-tte"/>
    <w:uiPriority w:val="99"/>
    <w:rsid w:val="000067E8"/>
    <w:rPr>
      <w:kern w:val="2"/>
      <w:sz w:val="24"/>
      <w:szCs w:val="24"/>
      <w:lang w:val="es-ES"/>
      <w14:ligatures w14:val="standardContextual"/>
    </w:rPr>
  </w:style>
  <w:style w:type="paragraph" w:styleId="Pieddepage">
    <w:name w:val="footer"/>
    <w:basedOn w:val="Normal"/>
    <w:link w:val="PieddepageCar"/>
    <w:uiPriority w:val="99"/>
    <w:unhideWhenUsed/>
    <w:rsid w:val="000067E8"/>
    <w:pPr>
      <w:tabs>
        <w:tab w:val="center" w:pos="4513"/>
        <w:tab w:val="right" w:pos="9026"/>
      </w:tabs>
    </w:pPr>
  </w:style>
  <w:style w:type="character" w:customStyle="1" w:styleId="PieddepageCar">
    <w:name w:val="Pied de page Car"/>
    <w:basedOn w:val="Policepardfaut"/>
    <w:link w:val="Pieddepage"/>
    <w:uiPriority w:val="99"/>
    <w:rsid w:val="000067E8"/>
    <w:rPr>
      <w:kern w:val="2"/>
      <w:sz w:val="24"/>
      <w:szCs w:val="24"/>
      <w:lang w:val="es-ES"/>
      <w14:ligatures w14:val="standardContextual"/>
    </w:rPr>
  </w:style>
  <w:style w:type="paragraph" w:styleId="Rvision">
    <w:name w:val="Revision"/>
    <w:hidden/>
    <w:uiPriority w:val="99"/>
    <w:semiHidden/>
    <w:rsid w:val="00592852"/>
    <w:pPr>
      <w:spacing w:after="0" w:line="240" w:lineRule="auto"/>
    </w:pPr>
    <w:rPr>
      <w:kern w:val="2"/>
      <w:sz w:val="24"/>
      <w:szCs w:val="24"/>
      <w:lang w:val="es-E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7698">
      <w:bodyDiv w:val="1"/>
      <w:marLeft w:val="0"/>
      <w:marRight w:val="0"/>
      <w:marTop w:val="0"/>
      <w:marBottom w:val="0"/>
      <w:divBdr>
        <w:top w:val="none" w:sz="0" w:space="0" w:color="auto"/>
        <w:left w:val="none" w:sz="0" w:space="0" w:color="auto"/>
        <w:bottom w:val="none" w:sz="0" w:space="0" w:color="auto"/>
        <w:right w:val="none" w:sz="0" w:space="0" w:color="auto"/>
      </w:divBdr>
    </w:div>
    <w:div w:id="193659806">
      <w:bodyDiv w:val="1"/>
      <w:marLeft w:val="0"/>
      <w:marRight w:val="0"/>
      <w:marTop w:val="0"/>
      <w:marBottom w:val="0"/>
      <w:divBdr>
        <w:top w:val="none" w:sz="0" w:space="0" w:color="auto"/>
        <w:left w:val="none" w:sz="0" w:space="0" w:color="auto"/>
        <w:bottom w:val="none" w:sz="0" w:space="0" w:color="auto"/>
        <w:right w:val="none" w:sz="0" w:space="0" w:color="auto"/>
      </w:divBdr>
    </w:div>
    <w:div w:id="202596679">
      <w:bodyDiv w:val="1"/>
      <w:marLeft w:val="0"/>
      <w:marRight w:val="0"/>
      <w:marTop w:val="0"/>
      <w:marBottom w:val="0"/>
      <w:divBdr>
        <w:top w:val="none" w:sz="0" w:space="0" w:color="auto"/>
        <w:left w:val="none" w:sz="0" w:space="0" w:color="auto"/>
        <w:bottom w:val="none" w:sz="0" w:space="0" w:color="auto"/>
        <w:right w:val="none" w:sz="0" w:space="0" w:color="auto"/>
      </w:divBdr>
    </w:div>
    <w:div w:id="262416963">
      <w:bodyDiv w:val="1"/>
      <w:marLeft w:val="0"/>
      <w:marRight w:val="0"/>
      <w:marTop w:val="0"/>
      <w:marBottom w:val="0"/>
      <w:divBdr>
        <w:top w:val="none" w:sz="0" w:space="0" w:color="auto"/>
        <w:left w:val="none" w:sz="0" w:space="0" w:color="auto"/>
        <w:bottom w:val="none" w:sz="0" w:space="0" w:color="auto"/>
        <w:right w:val="none" w:sz="0" w:space="0" w:color="auto"/>
      </w:divBdr>
    </w:div>
    <w:div w:id="313145535">
      <w:bodyDiv w:val="1"/>
      <w:marLeft w:val="0"/>
      <w:marRight w:val="0"/>
      <w:marTop w:val="0"/>
      <w:marBottom w:val="0"/>
      <w:divBdr>
        <w:top w:val="none" w:sz="0" w:space="0" w:color="auto"/>
        <w:left w:val="none" w:sz="0" w:space="0" w:color="auto"/>
        <w:bottom w:val="none" w:sz="0" w:space="0" w:color="auto"/>
        <w:right w:val="none" w:sz="0" w:space="0" w:color="auto"/>
      </w:divBdr>
      <w:divsChild>
        <w:div w:id="657154836">
          <w:marLeft w:val="0"/>
          <w:marRight w:val="0"/>
          <w:marTop w:val="0"/>
          <w:marBottom w:val="0"/>
          <w:divBdr>
            <w:top w:val="none" w:sz="0" w:space="0" w:color="auto"/>
            <w:left w:val="none" w:sz="0" w:space="0" w:color="auto"/>
            <w:bottom w:val="none" w:sz="0" w:space="0" w:color="auto"/>
            <w:right w:val="none" w:sz="0" w:space="0" w:color="auto"/>
          </w:divBdr>
          <w:divsChild>
            <w:div w:id="1878271630">
              <w:marLeft w:val="0"/>
              <w:marRight w:val="0"/>
              <w:marTop w:val="0"/>
              <w:marBottom w:val="0"/>
              <w:divBdr>
                <w:top w:val="none" w:sz="0" w:space="0" w:color="auto"/>
                <w:left w:val="none" w:sz="0" w:space="0" w:color="auto"/>
                <w:bottom w:val="none" w:sz="0" w:space="0" w:color="auto"/>
                <w:right w:val="none" w:sz="0" w:space="0" w:color="auto"/>
              </w:divBdr>
            </w:div>
          </w:divsChild>
        </w:div>
        <w:div w:id="810638493">
          <w:marLeft w:val="0"/>
          <w:marRight w:val="0"/>
          <w:marTop w:val="0"/>
          <w:marBottom w:val="0"/>
          <w:divBdr>
            <w:top w:val="none" w:sz="0" w:space="0" w:color="auto"/>
            <w:left w:val="none" w:sz="0" w:space="0" w:color="auto"/>
            <w:bottom w:val="none" w:sz="0" w:space="0" w:color="auto"/>
            <w:right w:val="none" w:sz="0" w:space="0" w:color="auto"/>
          </w:divBdr>
          <w:divsChild>
            <w:div w:id="59463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639324">
      <w:bodyDiv w:val="1"/>
      <w:marLeft w:val="0"/>
      <w:marRight w:val="0"/>
      <w:marTop w:val="0"/>
      <w:marBottom w:val="0"/>
      <w:divBdr>
        <w:top w:val="none" w:sz="0" w:space="0" w:color="auto"/>
        <w:left w:val="none" w:sz="0" w:space="0" w:color="auto"/>
        <w:bottom w:val="none" w:sz="0" w:space="0" w:color="auto"/>
        <w:right w:val="none" w:sz="0" w:space="0" w:color="auto"/>
      </w:divBdr>
      <w:divsChild>
        <w:div w:id="1636639196">
          <w:marLeft w:val="0"/>
          <w:marRight w:val="0"/>
          <w:marTop w:val="0"/>
          <w:marBottom w:val="0"/>
          <w:divBdr>
            <w:top w:val="none" w:sz="0" w:space="0" w:color="auto"/>
            <w:left w:val="none" w:sz="0" w:space="0" w:color="auto"/>
            <w:bottom w:val="none" w:sz="0" w:space="0" w:color="auto"/>
            <w:right w:val="none" w:sz="0" w:space="0" w:color="auto"/>
          </w:divBdr>
          <w:divsChild>
            <w:div w:id="126558863">
              <w:marLeft w:val="0"/>
              <w:marRight w:val="0"/>
              <w:marTop w:val="0"/>
              <w:marBottom w:val="0"/>
              <w:divBdr>
                <w:top w:val="none" w:sz="0" w:space="0" w:color="auto"/>
                <w:left w:val="none" w:sz="0" w:space="0" w:color="auto"/>
                <w:bottom w:val="none" w:sz="0" w:space="0" w:color="auto"/>
                <w:right w:val="none" w:sz="0" w:space="0" w:color="auto"/>
              </w:divBdr>
            </w:div>
          </w:divsChild>
        </w:div>
        <w:div w:id="693962139">
          <w:marLeft w:val="0"/>
          <w:marRight w:val="0"/>
          <w:marTop w:val="0"/>
          <w:marBottom w:val="0"/>
          <w:divBdr>
            <w:top w:val="none" w:sz="0" w:space="0" w:color="auto"/>
            <w:left w:val="none" w:sz="0" w:space="0" w:color="auto"/>
            <w:bottom w:val="none" w:sz="0" w:space="0" w:color="auto"/>
            <w:right w:val="none" w:sz="0" w:space="0" w:color="auto"/>
          </w:divBdr>
          <w:divsChild>
            <w:div w:id="209755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43897">
      <w:bodyDiv w:val="1"/>
      <w:marLeft w:val="0"/>
      <w:marRight w:val="0"/>
      <w:marTop w:val="0"/>
      <w:marBottom w:val="0"/>
      <w:divBdr>
        <w:top w:val="none" w:sz="0" w:space="0" w:color="auto"/>
        <w:left w:val="none" w:sz="0" w:space="0" w:color="auto"/>
        <w:bottom w:val="none" w:sz="0" w:space="0" w:color="auto"/>
        <w:right w:val="none" w:sz="0" w:space="0" w:color="auto"/>
      </w:divBdr>
    </w:div>
    <w:div w:id="527304671">
      <w:bodyDiv w:val="1"/>
      <w:marLeft w:val="0"/>
      <w:marRight w:val="0"/>
      <w:marTop w:val="0"/>
      <w:marBottom w:val="0"/>
      <w:divBdr>
        <w:top w:val="none" w:sz="0" w:space="0" w:color="auto"/>
        <w:left w:val="none" w:sz="0" w:space="0" w:color="auto"/>
        <w:bottom w:val="none" w:sz="0" w:space="0" w:color="auto"/>
        <w:right w:val="none" w:sz="0" w:space="0" w:color="auto"/>
      </w:divBdr>
    </w:div>
    <w:div w:id="548080057">
      <w:bodyDiv w:val="1"/>
      <w:marLeft w:val="0"/>
      <w:marRight w:val="0"/>
      <w:marTop w:val="0"/>
      <w:marBottom w:val="0"/>
      <w:divBdr>
        <w:top w:val="none" w:sz="0" w:space="0" w:color="auto"/>
        <w:left w:val="none" w:sz="0" w:space="0" w:color="auto"/>
        <w:bottom w:val="none" w:sz="0" w:space="0" w:color="auto"/>
        <w:right w:val="none" w:sz="0" w:space="0" w:color="auto"/>
      </w:divBdr>
      <w:divsChild>
        <w:div w:id="1022125421">
          <w:marLeft w:val="0"/>
          <w:marRight w:val="0"/>
          <w:marTop w:val="0"/>
          <w:marBottom w:val="0"/>
          <w:divBdr>
            <w:top w:val="none" w:sz="0" w:space="0" w:color="auto"/>
            <w:left w:val="none" w:sz="0" w:space="0" w:color="auto"/>
            <w:bottom w:val="none" w:sz="0" w:space="0" w:color="auto"/>
            <w:right w:val="none" w:sz="0" w:space="0" w:color="auto"/>
          </w:divBdr>
          <w:divsChild>
            <w:div w:id="1435057158">
              <w:marLeft w:val="0"/>
              <w:marRight w:val="0"/>
              <w:marTop w:val="0"/>
              <w:marBottom w:val="0"/>
              <w:divBdr>
                <w:top w:val="none" w:sz="0" w:space="0" w:color="auto"/>
                <w:left w:val="none" w:sz="0" w:space="0" w:color="auto"/>
                <w:bottom w:val="none" w:sz="0" w:space="0" w:color="auto"/>
                <w:right w:val="none" w:sz="0" w:space="0" w:color="auto"/>
              </w:divBdr>
            </w:div>
          </w:divsChild>
        </w:div>
        <w:div w:id="1543664509">
          <w:marLeft w:val="0"/>
          <w:marRight w:val="0"/>
          <w:marTop w:val="0"/>
          <w:marBottom w:val="0"/>
          <w:divBdr>
            <w:top w:val="none" w:sz="0" w:space="0" w:color="auto"/>
            <w:left w:val="none" w:sz="0" w:space="0" w:color="auto"/>
            <w:bottom w:val="none" w:sz="0" w:space="0" w:color="auto"/>
            <w:right w:val="none" w:sz="0" w:space="0" w:color="auto"/>
          </w:divBdr>
          <w:divsChild>
            <w:div w:id="8378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87842">
      <w:bodyDiv w:val="1"/>
      <w:marLeft w:val="0"/>
      <w:marRight w:val="0"/>
      <w:marTop w:val="0"/>
      <w:marBottom w:val="0"/>
      <w:divBdr>
        <w:top w:val="none" w:sz="0" w:space="0" w:color="auto"/>
        <w:left w:val="none" w:sz="0" w:space="0" w:color="auto"/>
        <w:bottom w:val="none" w:sz="0" w:space="0" w:color="auto"/>
        <w:right w:val="none" w:sz="0" w:space="0" w:color="auto"/>
      </w:divBdr>
      <w:divsChild>
        <w:div w:id="1439838100">
          <w:marLeft w:val="0"/>
          <w:marRight w:val="0"/>
          <w:marTop w:val="0"/>
          <w:marBottom w:val="0"/>
          <w:divBdr>
            <w:top w:val="none" w:sz="0" w:space="0" w:color="auto"/>
            <w:left w:val="none" w:sz="0" w:space="0" w:color="auto"/>
            <w:bottom w:val="none" w:sz="0" w:space="0" w:color="auto"/>
            <w:right w:val="none" w:sz="0" w:space="0" w:color="auto"/>
          </w:divBdr>
          <w:divsChild>
            <w:div w:id="1408914286">
              <w:marLeft w:val="0"/>
              <w:marRight w:val="0"/>
              <w:marTop w:val="0"/>
              <w:marBottom w:val="0"/>
              <w:divBdr>
                <w:top w:val="none" w:sz="0" w:space="0" w:color="auto"/>
                <w:left w:val="none" w:sz="0" w:space="0" w:color="auto"/>
                <w:bottom w:val="none" w:sz="0" w:space="0" w:color="auto"/>
                <w:right w:val="none" w:sz="0" w:space="0" w:color="auto"/>
              </w:divBdr>
            </w:div>
          </w:divsChild>
        </w:div>
        <w:div w:id="1225794927">
          <w:marLeft w:val="0"/>
          <w:marRight w:val="0"/>
          <w:marTop w:val="0"/>
          <w:marBottom w:val="0"/>
          <w:divBdr>
            <w:top w:val="none" w:sz="0" w:space="0" w:color="auto"/>
            <w:left w:val="none" w:sz="0" w:space="0" w:color="auto"/>
            <w:bottom w:val="none" w:sz="0" w:space="0" w:color="auto"/>
            <w:right w:val="none" w:sz="0" w:space="0" w:color="auto"/>
          </w:divBdr>
          <w:divsChild>
            <w:div w:id="122266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419222">
      <w:bodyDiv w:val="1"/>
      <w:marLeft w:val="0"/>
      <w:marRight w:val="0"/>
      <w:marTop w:val="0"/>
      <w:marBottom w:val="0"/>
      <w:divBdr>
        <w:top w:val="none" w:sz="0" w:space="0" w:color="auto"/>
        <w:left w:val="none" w:sz="0" w:space="0" w:color="auto"/>
        <w:bottom w:val="none" w:sz="0" w:space="0" w:color="auto"/>
        <w:right w:val="none" w:sz="0" w:space="0" w:color="auto"/>
      </w:divBdr>
    </w:div>
    <w:div w:id="835151279">
      <w:bodyDiv w:val="1"/>
      <w:marLeft w:val="0"/>
      <w:marRight w:val="0"/>
      <w:marTop w:val="0"/>
      <w:marBottom w:val="0"/>
      <w:divBdr>
        <w:top w:val="none" w:sz="0" w:space="0" w:color="auto"/>
        <w:left w:val="none" w:sz="0" w:space="0" w:color="auto"/>
        <w:bottom w:val="none" w:sz="0" w:space="0" w:color="auto"/>
        <w:right w:val="none" w:sz="0" w:space="0" w:color="auto"/>
      </w:divBdr>
    </w:div>
    <w:div w:id="847985007">
      <w:bodyDiv w:val="1"/>
      <w:marLeft w:val="0"/>
      <w:marRight w:val="0"/>
      <w:marTop w:val="0"/>
      <w:marBottom w:val="0"/>
      <w:divBdr>
        <w:top w:val="none" w:sz="0" w:space="0" w:color="auto"/>
        <w:left w:val="none" w:sz="0" w:space="0" w:color="auto"/>
        <w:bottom w:val="none" w:sz="0" w:space="0" w:color="auto"/>
        <w:right w:val="none" w:sz="0" w:space="0" w:color="auto"/>
      </w:divBdr>
      <w:divsChild>
        <w:div w:id="1760520180">
          <w:marLeft w:val="0"/>
          <w:marRight w:val="0"/>
          <w:marTop w:val="0"/>
          <w:marBottom w:val="0"/>
          <w:divBdr>
            <w:top w:val="none" w:sz="0" w:space="0" w:color="auto"/>
            <w:left w:val="none" w:sz="0" w:space="0" w:color="auto"/>
            <w:bottom w:val="none" w:sz="0" w:space="0" w:color="auto"/>
            <w:right w:val="none" w:sz="0" w:space="0" w:color="auto"/>
          </w:divBdr>
          <w:divsChild>
            <w:div w:id="1481997734">
              <w:marLeft w:val="0"/>
              <w:marRight w:val="0"/>
              <w:marTop w:val="0"/>
              <w:marBottom w:val="0"/>
              <w:divBdr>
                <w:top w:val="none" w:sz="0" w:space="0" w:color="auto"/>
                <w:left w:val="none" w:sz="0" w:space="0" w:color="auto"/>
                <w:bottom w:val="none" w:sz="0" w:space="0" w:color="auto"/>
                <w:right w:val="none" w:sz="0" w:space="0" w:color="auto"/>
              </w:divBdr>
            </w:div>
          </w:divsChild>
        </w:div>
        <w:div w:id="1610121109">
          <w:marLeft w:val="0"/>
          <w:marRight w:val="0"/>
          <w:marTop w:val="0"/>
          <w:marBottom w:val="0"/>
          <w:divBdr>
            <w:top w:val="none" w:sz="0" w:space="0" w:color="auto"/>
            <w:left w:val="none" w:sz="0" w:space="0" w:color="auto"/>
            <w:bottom w:val="none" w:sz="0" w:space="0" w:color="auto"/>
            <w:right w:val="none" w:sz="0" w:space="0" w:color="auto"/>
          </w:divBdr>
          <w:divsChild>
            <w:div w:id="39925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90937">
      <w:bodyDiv w:val="1"/>
      <w:marLeft w:val="0"/>
      <w:marRight w:val="0"/>
      <w:marTop w:val="0"/>
      <w:marBottom w:val="0"/>
      <w:divBdr>
        <w:top w:val="none" w:sz="0" w:space="0" w:color="auto"/>
        <w:left w:val="none" w:sz="0" w:space="0" w:color="auto"/>
        <w:bottom w:val="none" w:sz="0" w:space="0" w:color="auto"/>
        <w:right w:val="none" w:sz="0" w:space="0" w:color="auto"/>
      </w:divBdr>
      <w:divsChild>
        <w:div w:id="1359426396">
          <w:marLeft w:val="0"/>
          <w:marRight w:val="0"/>
          <w:marTop w:val="0"/>
          <w:marBottom w:val="0"/>
          <w:divBdr>
            <w:top w:val="none" w:sz="0" w:space="0" w:color="auto"/>
            <w:left w:val="none" w:sz="0" w:space="0" w:color="auto"/>
            <w:bottom w:val="none" w:sz="0" w:space="0" w:color="auto"/>
            <w:right w:val="none" w:sz="0" w:space="0" w:color="auto"/>
          </w:divBdr>
          <w:divsChild>
            <w:div w:id="33622215">
              <w:marLeft w:val="0"/>
              <w:marRight w:val="0"/>
              <w:marTop w:val="0"/>
              <w:marBottom w:val="0"/>
              <w:divBdr>
                <w:top w:val="none" w:sz="0" w:space="0" w:color="auto"/>
                <w:left w:val="none" w:sz="0" w:space="0" w:color="auto"/>
                <w:bottom w:val="none" w:sz="0" w:space="0" w:color="auto"/>
                <w:right w:val="none" w:sz="0" w:space="0" w:color="auto"/>
              </w:divBdr>
            </w:div>
          </w:divsChild>
        </w:div>
        <w:div w:id="1475563764">
          <w:marLeft w:val="0"/>
          <w:marRight w:val="0"/>
          <w:marTop w:val="0"/>
          <w:marBottom w:val="0"/>
          <w:divBdr>
            <w:top w:val="none" w:sz="0" w:space="0" w:color="auto"/>
            <w:left w:val="none" w:sz="0" w:space="0" w:color="auto"/>
            <w:bottom w:val="none" w:sz="0" w:space="0" w:color="auto"/>
            <w:right w:val="none" w:sz="0" w:space="0" w:color="auto"/>
          </w:divBdr>
          <w:divsChild>
            <w:div w:id="199179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77536">
      <w:bodyDiv w:val="1"/>
      <w:marLeft w:val="0"/>
      <w:marRight w:val="0"/>
      <w:marTop w:val="0"/>
      <w:marBottom w:val="0"/>
      <w:divBdr>
        <w:top w:val="none" w:sz="0" w:space="0" w:color="auto"/>
        <w:left w:val="none" w:sz="0" w:space="0" w:color="auto"/>
        <w:bottom w:val="none" w:sz="0" w:space="0" w:color="auto"/>
        <w:right w:val="none" w:sz="0" w:space="0" w:color="auto"/>
      </w:divBdr>
      <w:divsChild>
        <w:div w:id="1237518729">
          <w:marLeft w:val="0"/>
          <w:marRight w:val="0"/>
          <w:marTop w:val="0"/>
          <w:marBottom w:val="0"/>
          <w:divBdr>
            <w:top w:val="none" w:sz="0" w:space="0" w:color="auto"/>
            <w:left w:val="none" w:sz="0" w:space="0" w:color="auto"/>
            <w:bottom w:val="none" w:sz="0" w:space="0" w:color="auto"/>
            <w:right w:val="none" w:sz="0" w:space="0" w:color="auto"/>
          </w:divBdr>
          <w:divsChild>
            <w:div w:id="2018532627">
              <w:marLeft w:val="0"/>
              <w:marRight w:val="0"/>
              <w:marTop w:val="0"/>
              <w:marBottom w:val="0"/>
              <w:divBdr>
                <w:top w:val="none" w:sz="0" w:space="0" w:color="auto"/>
                <w:left w:val="none" w:sz="0" w:space="0" w:color="auto"/>
                <w:bottom w:val="none" w:sz="0" w:space="0" w:color="auto"/>
                <w:right w:val="none" w:sz="0" w:space="0" w:color="auto"/>
              </w:divBdr>
            </w:div>
          </w:divsChild>
        </w:div>
        <w:div w:id="868756931">
          <w:marLeft w:val="0"/>
          <w:marRight w:val="0"/>
          <w:marTop w:val="0"/>
          <w:marBottom w:val="0"/>
          <w:divBdr>
            <w:top w:val="none" w:sz="0" w:space="0" w:color="auto"/>
            <w:left w:val="none" w:sz="0" w:space="0" w:color="auto"/>
            <w:bottom w:val="none" w:sz="0" w:space="0" w:color="auto"/>
            <w:right w:val="none" w:sz="0" w:space="0" w:color="auto"/>
          </w:divBdr>
          <w:divsChild>
            <w:div w:id="150735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68832">
      <w:bodyDiv w:val="1"/>
      <w:marLeft w:val="0"/>
      <w:marRight w:val="0"/>
      <w:marTop w:val="0"/>
      <w:marBottom w:val="0"/>
      <w:divBdr>
        <w:top w:val="none" w:sz="0" w:space="0" w:color="auto"/>
        <w:left w:val="none" w:sz="0" w:space="0" w:color="auto"/>
        <w:bottom w:val="none" w:sz="0" w:space="0" w:color="auto"/>
        <w:right w:val="none" w:sz="0" w:space="0" w:color="auto"/>
      </w:divBdr>
    </w:div>
    <w:div w:id="933709076">
      <w:bodyDiv w:val="1"/>
      <w:marLeft w:val="0"/>
      <w:marRight w:val="0"/>
      <w:marTop w:val="0"/>
      <w:marBottom w:val="0"/>
      <w:divBdr>
        <w:top w:val="none" w:sz="0" w:space="0" w:color="auto"/>
        <w:left w:val="none" w:sz="0" w:space="0" w:color="auto"/>
        <w:bottom w:val="none" w:sz="0" w:space="0" w:color="auto"/>
        <w:right w:val="none" w:sz="0" w:space="0" w:color="auto"/>
      </w:divBdr>
      <w:divsChild>
        <w:div w:id="1477606639">
          <w:marLeft w:val="0"/>
          <w:marRight w:val="0"/>
          <w:marTop w:val="0"/>
          <w:marBottom w:val="0"/>
          <w:divBdr>
            <w:top w:val="none" w:sz="0" w:space="0" w:color="auto"/>
            <w:left w:val="none" w:sz="0" w:space="0" w:color="auto"/>
            <w:bottom w:val="none" w:sz="0" w:space="0" w:color="auto"/>
            <w:right w:val="none" w:sz="0" w:space="0" w:color="auto"/>
          </w:divBdr>
          <w:divsChild>
            <w:div w:id="1319725823">
              <w:marLeft w:val="0"/>
              <w:marRight w:val="0"/>
              <w:marTop w:val="0"/>
              <w:marBottom w:val="0"/>
              <w:divBdr>
                <w:top w:val="none" w:sz="0" w:space="0" w:color="auto"/>
                <w:left w:val="none" w:sz="0" w:space="0" w:color="auto"/>
                <w:bottom w:val="none" w:sz="0" w:space="0" w:color="auto"/>
                <w:right w:val="none" w:sz="0" w:space="0" w:color="auto"/>
              </w:divBdr>
            </w:div>
          </w:divsChild>
        </w:div>
        <w:div w:id="1724325878">
          <w:marLeft w:val="0"/>
          <w:marRight w:val="0"/>
          <w:marTop w:val="0"/>
          <w:marBottom w:val="0"/>
          <w:divBdr>
            <w:top w:val="none" w:sz="0" w:space="0" w:color="auto"/>
            <w:left w:val="none" w:sz="0" w:space="0" w:color="auto"/>
            <w:bottom w:val="none" w:sz="0" w:space="0" w:color="auto"/>
            <w:right w:val="none" w:sz="0" w:space="0" w:color="auto"/>
          </w:divBdr>
          <w:divsChild>
            <w:div w:id="22179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50492">
      <w:bodyDiv w:val="1"/>
      <w:marLeft w:val="0"/>
      <w:marRight w:val="0"/>
      <w:marTop w:val="0"/>
      <w:marBottom w:val="0"/>
      <w:divBdr>
        <w:top w:val="none" w:sz="0" w:space="0" w:color="auto"/>
        <w:left w:val="none" w:sz="0" w:space="0" w:color="auto"/>
        <w:bottom w:val="none" w:sz="0" w:space="0" w:color="auto"/>
        <w:right w:val="none" w:sz="0" w:space="0" w:color="auto"/>
      </w:divBdr>
    </w:div>
    <w:div w:id="1022362089">
      <w:bodyDiv w:val="1"/>
      <w:marLeft w:val="0"/>
      <w:marRight w:val="0"/>
      <w:marTop w:val="0"/>
      <w:marBottom w:val="0"/>
      <w:divBdr>
        <w:top w:val="none" w:sz="0" w:space="0" w:color="auto"/>
        <w:left w:val="none" w:sz="0" w:space="0" w:color="auto"/>
        <w:bottom w:val="none" w:sz="0" w:space="0" w:color="auto"/>
        <w:right w:val="none" w:sz="0" w:space="0" w:color="auto"/>
      </w:divBdr>
    </w:div>
    <w:div w:id="1121151516">
      <w:bodyDiv w:val="1"/>
      <w:marLeft w:val="0"/>
      <w:marRight w:val="0"/>
      <w:marTop w:val="0"/>
      <w:marBottom w:val="0"/>
      <w:divBdr>
        <w:top w:val="none" w:sz="0" w:space="0" w:color="auto"/>
        <w:left w:val="none" w:sz="0" w:space="0" w:color="auto"/>
        <w:bottom w:val="none" w:sz="0" w:space="0" w:color="auto"/>
        <w:right w:val="none" w:sz="0" w:space="0" w:color="auto"/>
      </w:divBdr>
    </w:div>
    <w:div w:id="1143809511">
      <w:bodyDiv w:val="1"/>
      <w:marLeft w:val="0"/>
      <w:marRight w:val="0"/>
      <w:marTop w:val="0"/>
      <w:marBottom w:val="0"/>
      <w:divBdr>
        <w:top w:val="none" w:sz="0" w:space="0" w:color="auto"/>
        <w:left w:val="none" w:sz="0" w:space="0" w:color="auto"/>
        <w:bottom w:val="none" w:sz="0" w:space="0" w:color="auto"/>
        <w:right w:val="none" w:sz="0" w:space="0" w:color="auto"/>
      </w:divBdr>
      <w:divsChild>
        <w:div w:id="170534980">
          <w:marLeft w:val="0"/>
          <w:marRight w:val="0"/>
          <w:marTop w:val="0"/>
          <w:marBottom w:val="0"/>
          <w:divBdr>
            <w:top w:val="none" w:sz="0" w:space="0" w:color="auto"/>
            <w:left w:val="none" w:sz="0" w:space="0" w:color="auto"/>
            <w:bottom w:val="none" w:sz="0" w:space="0" w:color="auto"/>
            <w:right w:val="none" w:sz="0" w:space="0" w:color="auto"/>
          </w:divBdr>
          <w:divsChild>
            <w:div w:id="318269634">
              <w:marLeft w:val="0"/>
              <w:marRight w:val="0"/>
              <w:marTop w:val="0"/>
              <w:marBottom w:val="0"/>
              <w:divBdr>
                <w:top w:val="none" w:sz="0" w:space="0" w:color="auto"/>
                <w:left w:val="none" w:sz="0" w:space="0" w:color="auto"/>
                <w:bottom w:val="none" w:sz="0" w:space="0" w:color="auto"/>
                <w:right w:val="none" w:sz="0" w:space="0" w:color="auto"/>
              </w:divBdr>
            </w:div>
          </w:divsChild>
        </w:div>
        <w:div w:id="1638946527">
          <w:marLeft w:val="0"/>
          <w:marRight w:val="0"/>
          <w:marTop w:val="0"/>
          <w:marBottom w:val="0"/>
          <w:divBdr>
            <w:top w:val="none" w:sz="0" w:space="0" w:color="auto"/>
            <w:left w:val="none" w:sz="0" w:space="0" w:color="auto"/>
            <w:bottom w:val="none" w:sz="0" w:space="0" w:color="auto"/>
            <w:right w:val="none" w:sz="0" w:space="0" w:color="auto"/>
          </w:divBdr>
          <w:divsChild>
            <w:div w:id="131945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946832">
      <w:bodyDiv w:val="1"/>
      <w:marLeft w:val="0"/>
      <w:marRight w:val="0"/>
      <w:marTop w:val="0"/>
      <w:marBottom w:val="0"/>
      <w:divBdr>
        <w:top w:val="none" w:sz="0" w:space="0" w:color="auto"/>
        <w:left w:val="none" w:sz="0" w:space="0" w:color="auto"/>
        <w:bottom w:val="none" w:sz="0" w:space="0" w:color="auto"/>
        <w:right w:val="none" w:sz="0" w:space="0" w:color="auto"/>
      </w:divBdr>
      <w:divsChild>
        <w:div w:id="1673413562">
          <w:marLeft w:val="0"/>
          <w:marRight w:val="0"/>
          <w:marTop w:val="0"/>
          <w:marBottom w:val="0"/>
          <w:divBdr>
            <w:top w:val="none" w:sz="0" w:space="0" w:color="auto"/>
            <w:left w:val="none" w:sz="0" w:space="0" w:color="auto"/>
            <w:bottom w:val="none" w:sz="0" w:space="0" w:color="auto"/>
            <w:right w:val="none" w:sz="0" w:space="0" w:color="auto"/>
          </w:divBdr>
          <w:divsChild>
            <w:div w:id="92558685">
              <w:marLeft w:val="0"/>
              <w:marRight w:val="0"/>
              <w:marTop w:val="0"/>
              <w:marBottom w:val="0"/>
              <w:divBdr>
                <w:top w:val="none" w:sz="0" w:space="0" w:color="auto"/>
                <w:left w:val="none" w:sz="0" w:space="0" w:color="auto"/>
                <w:bottom w:val="none" w:sz="0" w:space="0" w:color="auto"/>
                <w:right w:val="none" w:sz="0" w:space="0" w:color="auto"/>
              </w:divBdr>
            </w:div>
          </w:divsChild>
        </w:div>
        <w:div w:id="493569037">
          <w:marLeft w:val="0"/>
          <w:marRight w:val="0"/>
          <w:marTop w:val="0"/>
          <w:marBottom w:val="0"/>
          <w:divBdr>
            <w:top w:val="none" w:sz="0" w:space="0" w:color="auto"/>
            <w:left w:val="none" w:sz="0" w:space="0" w:color="auto"/>
            <w:bottom w:val="none" w:sz="0" w:space="0" w:color="auto"/>
            <w:right w:val="none" w:sz="0" w:space="0" w:color="auto"/>
          </w:divBdr>
          <w:divsChild>
            <w:div w:id="16597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6050">
      <w:bodyDiv w:val="1"/>
      <w:marLeft w:val="0"/>
      <w:marRight w:val="0"/>
      <w:marTop w:val="0"/>
      <w:marBottom w:val="0"/>
      <w:divBdr>
        <w:top w:val="none" w:sz="0" w:space="0" w:color="auto"/>
        <w:left w:val="none" w:sz="0" w:space="0" w:color="auto"/>
        <w:bottom w:val="none" w:sz="0" w:space="0" w:color="auto"/>
        <w:right w:val="none" w:sz="0" w:space="0" w:color="auto"/>
      </w:divBdr>
    </w:div>
    <w:div w:id="1441754785">
      <w:bodyDiv w:val="1"/>
      <w:marLeft w:val="0"/>
      <w:marRight w:val="0"/>
      <w:marTop w:val="0"/>
      <w:marBottom w:val="0"/>
      <w:divBdr>
        <w:top w:val="none" w:sz="0" w:space="0" w:color="auto"/>
        <w:left w:val="none" w:sz="0" w:space="0" w:color="auto"/>
        <w:bottom w:val="none" w:sz="0" w:space="0" w:color="auto"/>
        <w:right w:val="none" w:sz="0" w:space="0" w:color="auto"/>
      </w:divBdr>
    </w:div>
    <w:div w:id="1448237359">
      <w:bodyDiv w:val="1"/>
      <w:marLeft w:val="0"/>
      <w:marRight w:val="0"/>
      <w:marTop w:val="0"/>
      <w:marBottom w:val="0"/>
      <w:divBdr>
        <w:top w:val="none" w:sz="0" w:space="0" w:color="auto"/>
        <w:left w:val="none" w:sz="0" w:space="0" w:color="auto"/>
        <w:bottom w:val="none" w:sz="0" w:space="0" w:color="auto"/>
        <w:right w:val="none" w:sz="0" w:space="0" w:color="auto"/>
      </w:divBdr>
    </w:div>
    <w:div w:id="1709840248">
      <w:bodyDiv w:val="1"/>
      <w:marLeft w:val="0"/>
      <w:marRight w:val="0"/>
      <w:marTop w:val="0"/>
      <w:marBottom w:val="0"/>
      <w:divBdr>
        <w:top w:val="none" w:sz="0" w:space="0" w:color="auto"/>
        <w:left w:val="none" w:sz="0" w:space="0" w:color="auto"/>
        <w:bottom w:val="none" w:sz="0" w:space="0" w:color="auto"/>
        <w:right w:val="none" w:sz="0" w:space="0" w:color="auto"/>
      </w:divBdr>
    </w:div>
    <w:div w:id="1722704148">
      <w:bodyDiv w:val="1"/>
      <w:marLeft w:val="0"/>
      <w:marRight w:val="0"/>
      <w:marTop w:val="0"/>
      <w:marBottom w:val="0"/>
      <w:divBdr>
        <w:top w:val="none" w:sz="0" w:space="0" w:color="auto"/>
        <w:left w:val="none" w:sz="0" w:space="0" w:color="auto"/>
        <w:bottom w:val="none" w:sz="0" w:space="0" w:color="auto"/>
        <w:right w:val="none" w:sz="0" w:space="0" w:color="auto"/>
      </w:divBdr>
    </w:div>
    <w:div w:id="1747874925">
      <w:bodyDiv w:val="1"/>
      <w:marLeft w:val="0"/>
      <w:marRight w:val="0"/>
      <w:marTop w:val="0"/>
      <w:marBottom w:val="0"/>
      <w:divBdr>
        <w:top w:val="none" w:sz="0" w:space="0" w:color="auto"/>
        <w:left w:val="none" w:sz="0" w:space="0" w:color="auto"/>
        <w:bottom w:val="none" w:sz="0" w:space="0" w:color="auto"/>
        <w:right w:val="none" w:sz="0" w:space="0" w:color="auto"/>
      </w:divBdr>
    </w:div>
    <w:div w:id="1754888416">
      <w:bodyDiv w:val="1"/>
      <w:marLeft w:val="0"/>
      <w:marRight w:val="0"/>
      <w:marTop w:val="0"/>
      <w:marBottom w:val="0"/>
      <w:divBdr>
        <w:top w:val="none" w:sz="0" w:space="0" w:color="auto"/>
        <w:left w:val="none" w:sz="0" w:space="0" w:color="auto"/>
        <w:bottom w:val="none" w:sz="0" w:space="0" w:color="auto"/>
        <w:right w:val="none" w:sz="0" w:space="0" w:color="auto"/>
      </w:divBdr>
    </w:div>
    <w:div w:id="1923878400">
      <w:bodyDiv w:val="1"/>
      <w:marLeft w:val="0"/>
      <w:marRight w:val="0"/>
      <w:marTop w:val="0"/>
      <w:marBottom w:val="0"/>
      <w:divBdr>
        <w:top w:val="none" w:sz="0" w:space="0" w:color="auto"/>
        <w:left w:val="none" w:sz="0" w:space="0" w:color="auto"/>
        <w:bottom w:val="none" w:sz="0" w:space="0" w:color="auto"/>
        <w:right w:val="none" w:sz="0" w:space="0" w:color="auto"/>
      </w:divBdr>
    </w:div>
    <w:div w:id="2063358124">
      <w:bodyDiv w:val="1"/>
      <w:marLeft w:val="0"/>
      <w:marRight w:val="0"/>
      <w:marTop w:val="0"/>
      <w:marBottom w:val="0"/>
      <w:divBdr>
        <w:top w:val="none" w:sz="0" w:space="0" w:color="auto"/>
        <w:left w:val="none" w:sz="0" w:space="0" w:color="auto"/>
        <w:bottom w:val="none" w:sz="0" w:space="0" w:color="auto"/>
        <w:right w:val="none" w:sz="0" w:space="0" w:color="auto"/>
      </w:divBdr>
    </w:div>
    <w:div w:id="2081173443">
      <w:bodyDiv w:val="1"/>
      <w:marLeft w:val="0"/>
      <w:marRight w:val="0"/>
      <w:marTop w:val="0"/>
      <w:marBottom w:val="0"/>
      <w:divBdr>
        <w:top w:val="none" w:sz="0" w:space="0" w:color="auto"/>
        <w:left w:val="none" w:sz="0" w:space="0" w:color="auto"/>
        <w:bottom w:val="none" w:sz="0" w:space="0" w:color="auto"/>
        <w:right w:val="none" w:sz="0" w:space="0" w:color="auto"/>
      </w:divBdr>
    </w:div>
    <w:div w:id="212985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1386</Words>
  <Characters>7906</Characters>
  <Application>Microsoft Office Word</Application>
  <DocSecurity>0</DocSecurity>
  <Lines>65</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Department of Justice and Equality</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Thamil X. Ananthavinayagan</dc:creator>
  <cp:keywords/>
  <dc:description/>
  <cp:lastModifiedBy>Andréa BARREIRA</cp:lastModifiedBy>
  <cp:revision>6</cp:revision>
  <dcterms:created xsi:type="dcterms:W3CDTF">2025-02-03T13:27:00Z</dcterms:created>
  <dcterms:modified xsi:type="dcterms:W3CDTF">2025-02-11T11:32:00Z</dcterms:modified>
</cp:coreProperties>
</file>